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sz w:val="22"/>
          <w:szCs w:val="22"/>
          <w:u w:val="none"/>
        </w:rPr>
        <w:id w:val="111175944"/>
        <w:docPartObj>
          <w:docPartGallery w:val="Table of Contents"/>
          <w:docPartUnique/>
        </w:docPartObj>
      </w:sdtPr>
      <w:sdtEndPr>
        <w:rPr>
          <w:bCs/>
          <w:noProof/>
        </w:rPr>
      </w:sdtEndPr>
      <w:sdtContent>
        <w:p w14:paraId="6161359A" w14:textId="77777777" w:rsidR="00AA6CE9" w:rsidRDefault="00AA6CE9" w:rsidP="00AA6CE9">
          <w:pPr>
            <w:pStyle w:val="Heading3"/>
          </w:pPr>
          <w:r>
            <w:t>United States foreign policy ought to value women’s rights over the pursuit of its economic interests when the two conflict.</w:t>
          </w:r>
        </w:p>
        <w:p w14:paraId="69524A6E" w14:textId="77777777" w:rsidR="00AA6CE9" w:rsidRDefault="00AA6CE9">
          <w:pPr>
            <w:pStyle w:val="TOCHeading"/>
          </w:pPr>
          <w:r>
            <w:t>Table of Contents</w:t>
          </w:r>
        </w:p>
        <w:p w14:paraId="14FE56F9" w14:textId="77777777" w:rsidR="00AA6CE9" w:rsidRDefault="00AA6CE9">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Resolution &amp; Analysis</w:t>
          </w:r>
          <w:r>
            <w:rPr>
              <w:noProof/>
            </w:rPr>
            <w:tab/>
          </w:r>
          <w:r>
            <w:rPr>
              <w:noProof/>
            </w:rPr>
            <w:fldChar w:fldCharType="begin"/>
          </w:r>
          <w:r>
            <w:rPr>
              <w:noProof/>
            </w:rPr>
            <w:instrText xml:space="preserve"> PAGEREF _Toc271701361 \h </w:instrText>
          </w:r>
          <w:r>
            <w:rPr>
              <w:noProof/>
            </w:rPr>
          </w:r>
          <w:r>
            <w:rPr>
              <w:noProof/>
            </w:rPr>
            <w:fldChar w:fldCharType="separate"/>
          </w:r>
          <w:r>
            <w:rPr>
              <w:noProof/>
            </w:rPr>
            <w:t>2</w:t>
          </w:r>
          <w:r>
            <w:rPr>
              <w:noProof/>
            </w:rPr>
            <w:fldChar w:fldCharType="end"/>
          </w:r>
        </w:p>
        <w:p w14:paraId="7C5B4F57" w14:textId="77777777" w:rsidR="00AA6CE9" w:rsidRDefault="00AA6CE9">
          <w:pPr>
            <w:pStyle w:val="TOC3"/>
            <w:tabs>
              <w:tab w:val="right" w:leader="dot" w:pos="9350"/>
            </w:tabs>
            <w:rPr>
              <w:noProof/>
            </w:rPr>
          </w:pPr>
          <w:r>
            <w:rPr>
              <w:noProof/>
            </w:rPr>
            <w:t>United States foreign policy ought to value women’s rights over the pursuit of its economic interests when the two conflict.</w:t>
          </w:r>
          <w:r>
            <w:rPr>
              <w:noProof/>
            </w:rPr>
            <w:tab/>
          </w:r>
          <w:r>
            <w:rPr>
              <w:noProof/>
            </w:rPr>
            <w:fldChar w:fldCharType="begin"/>
          </w:r>
          <w:r>
            <w:rPr>
              <w:noProof/>
            </w:rPr>
            <w:instrText xml:space="preserve"> PAGEREF _Toc271701362 \h </w:instrText>
          </w:r>
          <w:r>
            <w:rPr>
              <w:noProof/>
            </w:rPr>
          </w:r>
          <w:r>
            <w:rPr>
              <w:noProof/>
            </w:rPr>
            <w:fldChar w:fldCharType="separate"/>
          </w:r>
          <w:r>
            <w:rPr>
              <w:noProof/>
            </w:rPr>
            <w:t>3</w:t>
          </w:r>
          <w:r>
            <w:rPr>
              <w:noProof/>
            </w:rPr>
            <w:fldChar w:fldCharType="end"/>
          </w:r>
        </w:p>
        <w:p w14:paraId="55FFC859" w14:textId="77777777" w:rsidR="00AA6CE9" w:rsidRDefault="00AA6CE9">
          <w:pPr>
            <w:pStyle w:val="TOC1"/>
            <w:tabs>
              <w:tab w:val="right" w:leader="dot" w:pos="9350"/>
            </w:tabs>
            <w:rPr>
              <w:noProof/>
            </w:rPr>
          </w:pPr>
          <w:r>
            <w:rPr>
              <w:noProof/>
            </w:rPr>
            <w:t>Affirmative Case</w:t>
          </w:r>
          <w:r>
            <w:rPr>
              <w:noProof/>
            </w:rPr>
            <w:tab/>
          </w:r>
          <w:r>
            <w:rPr>
              <w:noProof/>
            </w:rPr>
            <w:fldChar w:fldCharType="begin"/>
          </w:r>
          <w:r>
            <w:rPr>
              <w:noProof/>
            </w:rPr>
            <w:instrText xml:space="preserve"> PAGEREF _Toc271701363 \h </w:instrText>
          </w:r>
          <w:r>
            <w:rPr>
              <w:noProof/>
            </w:rPr>
          </w:r>
          <w:r>
            <w:rPr>
              <w:noProof/>
            </w:rPr>
            <w:fldChar w:fldCharType="separate"/>
          </w:r>
          <w:r>
            <w:rPr>
              <w:noProof/>
            </w:rPr>
            <w:t>4</w:t>
          </w:r>
          <w:r>
            <w:rPr>
              <w:noProof/>
            </w:rPr>
            <w:fldChar w:fldCharType="end"/>
          </w:r>
        </w:p>
        <w:p w14:paraId="50B5CF07" w14:textId="77777777" w:rsidR="00AA6CE9" w:rsidRDefault="00AA6CE9">
          <w:pPr>
            <w:pStyle w:val="TOC3"/>
            <w:tabs>
              <w:tab w:val="right" w:leader="dot" w:pos="9350"/>
            </w:tabs>
            <w:rPr>
              <w:noProof/>
            </w:rPr>
          </w:pPr>
          <w:r>
            <w:rPr>
              <w:noProof/>
            </w:rPr>
            <w:t>Framework</w:t>
          </w:r>
          <w:r>
            <w:rPr>
              <w:noProof/>
            </w:rPr>
            <w:tab/>
          </w:r>
          <w:r>
            <w:rPr>
              <w:noProof/>
            </w:rPr>
            <w:fldChar w:fldCharType="begin"/>
          </w:r>
          <w:r>
            <w:rPr>
              <w:noProof/>
            </w:rPr>
            <w:instrText xml:space="preserve"> PAGEREF _Toc271701364 \h </w:instrText>
          </w:r>
          <w:r>
            <w:rPr>
              <w:noProof/>
            </w:rPr>
          </w:r>
          <w:r>
            <w:rPr>
              <w:noProof/>
            </w:rPr>
            <w:fldChar w:fldCharType="separate"/>
          </w:r>
          <w:r>
            <w:rPr>
              <w:noProof/>
            </w:rPr>
            <w:t>5</w:t>
          </w:r>
          <w:r>
            <w:rPr>
              <w:noProof/>
            </w:rPr>
            <w:fldChar w:fldCharType="end"/>
          </w:r>
        </w:p>
        <w:p w14:paraId="69D4316F" w14:textId="77777777" w:rsidR="00AA6CE9" w:rsidRDefault="00AA6CE9">
          <w:pPr>
            <w:pStyle w:val="TOC3"/>
            <w:tabs>
              <w:tab w:val="right" w:leader="dot" w:pos="9350"/>
            </w:tabs>
            <w:rPr>
              <w:noProof/>
            </w:rPr>
          </w:pPr>
          <w:r>
            <w:rPr>
              <w:noProof/>
            </w:rPr>
            <w:t>Contention One: Allowing Women’s Rights to be Violated Reflects Our Identity</w:t>
          </w:r>
          <w:r>
            <w:rPr>
              <w:noProof/>
            </w:rPr>
            <w:tab/>
          </w:r>
          <w:r>
            <w:rPr>
              <w:noProof/>
            </w:rPr>
            <w:fldChar w:fldCharType="begin"/>
          </w:r>
          <w:r>
            <w:rPr>
              <w:noProof/>
            </w:rPr>
            <w:instrText xml:space="preserve"> PAGEREF _Toc271701365 \h </w:instrText>
          </w:r>
          <w:r>
            <w:rPr>
              <w:noProof/>
            </w:rPr>
          </w:r>
          <w:r>
            <w:rPr>
              <w:noProof/>
            </w:rPr>
            <w:fldChar w:fldCharType="separate"/>
          </w:r>
          <w:r>
            <w:rPr>
              <w:noProof/>
            </w:rPr>
            <w:t>7</w:t>
          </w:r>
          <w:r>
            <w:rPr>
              <w:noProof/>
            </w:rPr>
            <w:fldChar w:fldCharType="end"/>
          </w:r>
        </w:p>
        <w:p w14:paraId="0C794CC3" w14:textId="77777777" w:rsidR="00AA6CE9" w:rsidRDefault="00AA6CE9">
          <w:pPr>
            <w:pStyle w:val="TOC3"/>
            <w:tabs>
              <w:tab w:val="right" w:leader="dot" w:pos="9350"/>
            </w:tabs>
            <w:rPr>
              <w:noProof/>
            </w:rPr>
          </w:pPr>
          <w:r>
            <w:rPr>
              <w:noProof/>
            </w:rPr>
            <w:t>Contention Two: Valuing Economic Interests Above Women’s Rights is Immoral</w:t>
          </w:r>
          <w:r>
            <w:rPr>
              <w:noProof/>
            </w:rPr>
            <w:tab/>
          </w:r>
          <w:r>
            <w:rPr>
              <w:noProof/>
            </w:rPr>
            <w:fldChar w:fldCharType="begin"/>
          </w:r>
          <w:r>
            <w:rPr>
              <w:noProof/>
            </w:rPr>
            <w:instrText xml:space="preserve"> PAGEREF _Toc271701366 \h </w:instrText>
          </w:r>
          <w:r>
            <w:rPr>
              <w:noProof/>
            </w:rPr>
          </w:r>
          <w:r>
            <w:rPr>
              <w:noProof/>
            </w:rPr>
            <w:fldChar w:fldCharType="separate"/>
          </w:r>
          <w:r>
            <w:rPr>
              <w:noProof/>
            </w:rPr>
            <w:t>11</w:t>
          </w:r>
          <w:r>
            <w:rPr>
              <w:noProof/>
            </w:rPr>
            <w:fldChar w:fldCharType="end"/>
          </w:r>
        </w:p>
        <w:p w14:paraId="24829BB9" w14:textId="77777777" w:rsidR="00AA6CE9" w:rsidRDefault="00AA6CE9">
          <w:pPr>
            <w:pStyle w:val="TOC1"/>
            <w:tabs>
              <w:tab w:val="right" w:leader="dot" w:pos="9350"/>
            </w:tabs>
            <w:rPr>
              <w:noProof/>
            </w:rPr>
          </w:pPr>
          <w:r>
            <w:rPr>
              <w:noProof/>
            </w:rPr>
            <w:t>Affirmative Cards</w:t>
          </w:r>
          <w:r>
            <w:rPr>
              <w:noProof/>
            </w:rPr>
            <w:tab/>
          </w:r>
          <w:r>
            <w:rPr>
              <w:noProof/>
            </w:rPr>
            <w:fldChar w:fldCharType="begin"/>
          </w:r>
          <w:r>
            <w:rPr>
              <w:noProof/>
            </w:rPr>
            <w:instrText xml:space="preserve"> PAGEREF _Toc271701367 \h </w:instrText>
          </w:r>
          <w:r>
            <w:rPr>
              <w:noProof/>
            </w:rPr>
          </w:r>
          <w:r>
            <w:rPr>
              <w:noProof/>
            </w:rPr>
            <w:fldChar w:fldCharType="separate"/>
          </w:r>
          <w:r>
            <w:rPr>
              <w:noProof/>
            </w:rPr>
            <w:t>13</w:t>
          </w:r>
          <w:r>
            <w:rPr>
              <w:noProof/>
            </w:rPr>
            <w:fldChar w:fldCharType="end"/>
          </w:r>
        </w:p>
        <w:p w14:paraId="419CDB9A" w14:textId="77777777" w:rsidR="00AA6CE9" w:rsidRDefault="00AA6CE9">
          <w:pPr>
            <w:pStyle w:val="TOC3"/>
            <w:tabs>
              <w:tab w:val="right" w:leader="dot" w:pos="9350"/>
            </w:tabs>
            <w:rPr>
              <w:noProof/>
            </w:rPr>
          </w:pPr>
          <w:r>
            <w:rPr>
              <w:noProof/>
            </w:rPr>
            <w:t>Doesn’t Hurt Women’s Rights</w:t>
          </w:r>
          <w:r>
            <w:rPr>
              <w:noProof/>
            </w:rPr>
            <w:tab/>
          </w:r>
          <w:r>
            <w:rPr>
              <w:noProof/>
            </w:rPr>
            <w:fldChar w:fldCharType="begin"/>
          </w:r>
          <w:r>
            <w:rPr>
              <w:noProof/>
            </w:rPr>
            <w:instrText xml:space="preserve"> PAGEREF _Toc271701368 \h </w:instrText>
          </w:r>
          <w:r>
            <w:rPr>
              <w:noProof/>
            </w:rPr>
          </w:r>
          <w:r>
            <w:rPr>
              <w:noProof/>
            </w:rPr>
            <w:fldChar w:fldCharType="separate"/>
          </w:r>
          <w:r>
            <w:rPr>
              <w:noProof/>
            </w:rPr>
            <w:t>14</w:t>
          </w:r>
          <w:r>
            <w:rPr>
              <w:noProof/>
            </w:rPr>
            <w:fldChar w:fldCharType="end"/>
          </w:r>
        </w:p>
        <w:p w14:paraId="39A18327" w14:textId="77777777" w:rsidR="00AA6CE9" w:rsidRDefault="00AA6CE9">
          <w:pPr>
            <w:pStyle w:val="TOC3"/>
            <w:tabs>
              <w:tab w:val="right" w:leader="dot" w:pos="9350"/>
            </w:tabs>
            <w:rPr>
              <w:noProof/>
            </w:rPr>
          </w:pPr>
          <w:r>
            <w:rPr>
              <w:noProof/>
            </w:rPr>
            <w:t>Hurts Women’s Rights</w:t>
          </w:r>
          <w:r>
            <w:rPr>
              <w:noProof/>
            </w:rPr>
            <w:tab/>
          </w:r>
          <w:r>
            <w:rPr>
              <w:noProof/>
            </w:rPr>
            <w:fldChar w:fldCharType="begin"/>
          </w:r>
          <w:r>
            <w:rPr>
              <w:noProof/>
            </w:rPr>
            <w:instrText xml:space="preserve"> PAGEREF _Toc271701369 \h </w:instrText>
          </w:r>
          <w:r>
            <w:rPr>
              <w:noProof/>
            </w:rPr>
          </w:r>
          <w:r>
            <w:rPr>
              <w:noProof/>
            </w:rPr>
            <w:fldChar w:fldCharType="separate"/>
          </w:r>
          <w:r>
            <w:rPr>
              <w:noProof/>
            </w:rPr>
            <w:t>15</w:t>
          </w:r>
          <w:r>
            <w:rPr>
              <w:noProof/>
            </w:rPr>
            <w:fldChar w:fldCharType="end"/>
          </w:r>
        </w:p>
        <w:p w14:paraId="043151B4" w14:textId="77777777" w:rsidR="00AA6CE9" w:rsidRDefault="00AA6CE9">
          <w:pPr>
            <w:pStyle w:val="TOC3"/>
            <w:tabs>
              <w:tab w:val="right" w:leader="dot" w:pos="9350"/>
            </w:tabs>
            <w:rPr>
              <w:noProof/>
            </w:rPr>
          </w:pPr>
          <w:r>
            <w:rPr>
              <w:noProof/>
            </w:rPr>
            <w:t>United States Pledged to Stop Women’s Rights Abuses Globally</w:t>
          </w:r>
          <w:r>
            <w:rPr>
              <w:noProof/>
            </w:rPr>
            <w:tab/>
          </w:r>
          <w:r>
            <w:rPr>
              <w:noProof/>
            </w:rPr>
            <w:fldChar w:fldCharType="begin"/>
          </w:r>
          <w:r>
            <w:rPr>
              <w:noProof/>
            </w:rPr>
            <w:instrText xml:space="preserve"> PAGEREF _Toc271701370 \h </w:instrText>
          </w:r>
          <w:r>
            <w:rPr>
              <w:noProof/>
            </w:rPr>
          </w:r>
          <w:r>
            <w:rPr>
              <w:noProof/>
            </w:rPr>
            <w:fldChar w:fldCharType="separate"/>
          </w:r>
          <w:r>
            <w:rPr>
              <w:noProof/>
            </w:rPr>
            <w:t>16</w:t>
          </w:r>
          <w:r>
            <w:rPr>
              <w:noProof/>
            </w:rPr>
            <w:fldChar w:fldCharType="end"/>
          </w:r>
        </w:p>
        <w:p w14:paraId="73181465" w14:textId="77777777" w:rsidR="00AA6CE9" w:rsidRDefault="00AA6CE9">
          <w:pPr>
            <w:pStyle w:val="TOC3"/>
            <w:tabs>
              <w:tab w:val="right" w:leader="dot" w:pos="9350"/>
            </w:tabs>
            <w:rPr>
              <w:noProof/>
            </w:rPr>
          </w:pPr>
          <w:r>
            <w:rPr>
              <w:noProof/>
            </w:rPr>
            <w:t>Women’s Rights Key</w:t>
          </w:r>
          <w:r>
            <w:rPr>
              <w:noProof/>
            </w:rPr>
            <w:tab/>
          </w:r>
          <w:r>
            <w:rPr>
              <w:noProof/>
            </w:rPr>
            <w:fldChar w:fldCharType="begin"/>
          </w:r>
          <w:r>
            <w:rPr>
              <w:noProof/>
            </w:rPr>
            <w:instrText xml:space="preserve"> PAGEREF _Toc271701371 \h </w:instrText>
          </w:r>
          <w:r>
            <w:rPr>
              <w:noProof/>
            </w:rPr>
          </w:r>
          <w:r>
            <w:rPr>
              <w:noProof/>
            </w:rPr>
            <w:fldChar w:fldCharType="separate"/>
          </w:r>
          <w:r>
            <w:rPr>
              <w:noProof/>
            </w:rPr>
            <w:t>19</w:t>
          </w:r>
          <w:r>
            <w:rPr>
              <w:noProof/>
            </w:rPr>
            <w:fldChar w:fldCharType="end"/>
          </w:r>
        </w:p>
        <w:p w14:paraId="7DD354C2" w14:textId="77777777" w:rsidR="00AA6CE9" w:rsidRDefault="00AA6CE9">
          <w:pPr>
            <w:pStyle w:val="TOC1"/>
            <w:tabs>
              <w:tab w:val="right" w:leader="dot" w:pos="9350"/>
            </w:tabs>
            <w:rPr>
              <w:noProof/>
            </w:rPr>
          </w:pPr>
          <w:r>
            <w:rPr>
              <w:noProof/>
            </w:rPr>
            <w:t>Negative Case</w:t>
          </w:r>
          <w:r>
            <w:rPr>
              <w:noProof/>
            </w:rPr>
            <w:tab/>
          </w:r>
          <w:r>
            <w:rPr>
              <w:noProof/>
            </w:rPr>
            <w:fldChar w:fldCharType="begin"/>
          </w:r>
          <w:r>
            <w:rPr>
              <w:noProof/>
            </w:rPr>
            <w:instrText xml:space="preserve"> PAGEREF _Toc271701372 \h </w:instrText>
          </w:r>
          <w:r>
            <w:rPr>
              <w:noProof/>
            </w:rPr>
          </w:r>
          <w:r>
            <w:rPr>
              <w:noProof/>
            </w:rPr>
            <w:fldChar w:fldCharType="separate"/>
          </w:r>
          <w:r>
            <w:rPr>
              <w:noProof/>
            </w:rPr>
            <w:t>22</w:t>
          </w:r>
          <w:r>
            <w:rPr>
              <w:noProof/>
            </w:rPr>
            <w:fldChar w:fldCharType="end"/>
          </w:r>
        </w:p>
        <w:p w14:paraId="2F67903D" w14:textId="77777777" w:rsidR="00AA6CE9" w:rsidRDefault="00AA6CE9">
          <w:pPr>
            <w:pStyle w:val="TOC3"/>
            <w:tabs>
              <w:tab w:val="right" w:leader="dot" w:pos="9350"/>
            </w:tabs>
            <w:rPr>
              <w:noProof/>
            </w:rPr>
          </w:pPr>
          <w:r>
            <w:rPr>
              <w:noProof/>
            </w:rPr>
            <w:t>I negate the resolution: United States Foreign Policy ought to value women’s rights over the pursuit of its economic interests when the two conflict.</w:t>
          </w:r>
          <w:r>
            <w:rPr>
              <w:noProof/>
            </w:rPr>
            <w:tab/>
          </w:r>
          <w:r>
            <w:rPr>
              <w:noProof/>
            </w:rPr>
            <w:fldChar w:fldCharType="begin"/>
          </w:r>
          <w:r>
            <w:rPr>
              <w:noProof/>
            </w:rPr>
            <w:instrText xml:space="preserve"> PAGEREF _Toc271701373 \h </w:instrText>
          </w:r>
          <w:r>
            <w:rPr>
              <w:noProof/>
            </w:rPr>
          </w:r>
          <w:r>
            <w:rPr>
              <w:noProof/>
            </w:rPr>
            <w:fldChar w:fldCharType="separate"/>
          </w:r>
          <w:r>
            <w:rPr>
              <w:noProof/>
            </w:rPr>
            <w:t>23</w:t>
          </w:r>
          <w:r>
            <w:rPr>
              <w:noProof/>
            </w:rPr>
            <w:fldChar w:fldCharType="end"/>
          </w:r>
        </w:p>
        <w:p w14:paraId="33152E15" w14:textId="77777777" w:rsidR="00AA6CE9" w:rsidRDefault="00AA6CE9">
          <w:pPr>
            <w:pStyle w:val="TOC3"/>
            <w:tabs>
              <w:tab w:val="right" w:leader="dot" w:pos="9350"/>
            </w:tabs>
            <w:rPr>
              <w:noProof/>
            </w:rPr>
          </w:pPr>
          <w:r>
            <w:rPr>
              <w:noProof/>
            </w:rPr>
            <w:t>Observation 1: Framework and Standard</w:t>
          </w:r>
          <w:r>
            <w:rPr>
              <w:noProof/>
            </w:rPr>
            <w:tab/>
          </w:r>
          <w:r>
            <w:rPr>
              <w:noProof/>
            </w:rPr>
            <w:fldChar w:fldCharType="begin"/>
          </w:r>
          <w:r>
            <w:rPr>
              <w:noProof/>
            </w:rPr>
            <w:instrText xml:space="preserve"> PAGEREF _Toc271701374 \h </w:instrText>
          </w:r>
          <w:r>
            <w:rPr>
              <w:noProof/>
            </w:rPr>
          </w:r>
          <w:r>
            <w:rPr>
              <w:noProof/>
            </w:rPr>
            <w:fldChar w:fldCharType="separate"/>
          </w:r>
          <w:r>
            <w:rPr>
              <w:noProof/>
            </w:rPr>
            <w:t>24</w:t>
          </w:r>
          <w:r>
            <w:rPr>
              <w:noProof/>
            </w:rPr>
            <w:fldChar w:fldCharType="end"/>
          </w:r>
        </w:p>
        <w:p w14:paraId="4E959EC4" w14:textId="77777777" w:rsidR="00AA6CE9" w:rsidRDefault="00AA6CE9">
          <w:pPr>
            <w:pStyle w:val="TOC3"/>
            <w:tabs>
              <w:tab w:val="right" w:leader="dot" w:pos="9350"/>
            </w:tabs>
            <w:rPr>
              <w:noProof/>
            </w:rPr>
          </w:pPr>
          <w:r>
            <w:rPr>
              <w:noProof/>
            </w:rPr>
            <w:t>C1. Western Feminism is a form of constant cultural oppression in the status quo.</w:t>
          </w:r>
          <w:r>
            <w:rPr>
              <w:noProof/>
            </w:rPr>
            <w:tab/>
          </w:r>
          <w:r>
            <w:rPr>
              <w:noProof/>
            </w:rPr>
            <w:fldChar w:fldCharType="begin"/>
          </w:r>
          <w:r>
            <w:rPr>
              <w:noProof/>
            </w:rPr>
            <w:instrText xml:space="preserve"> PAGEREF _Toc271701375 \h </w:instrText>
          </w:r>
          <w:r>
            <w:rPr>
              <w:noProof/>
            </w:rPr>
          </w:r>
          <w:r>
            <w:rPr>
              <w:noProof/>
            </w:rPr>
            <w:fldChar w:fldCharType="separate"/>
          </w:r>
          <w:r>
            <w:rPr>
              <w:noProof/>
            </w:rPr>
            <w:t>25</w:t>
          </w:r>
          <w:r>
            <w:rPr>
              <w:noProof/>
            </w:rPr>
            <w:fldChar w:fldCharType="end"/>
          </w:r>
        </w:p>
        <w:p w14:paraId="5CF89573" w14:textId="77777777" w:rsidR="00AA6CE9" w:rsidRDefault="00AA6CE9">
          <w:pPr>
            <w:pStyle w:val="TOC3"/>
            <w:tabs>
              <w:tab w:val="right" w:leader="dot" w:pos="9350"/>
            </w:tabs>
            <w:rPr>
              <w:noProof/>
            </w:rPr>
          </w:pPr>
          <w:r>
            <w:rPr>
              <w:noProof/>
            </w:rPr>
            <w:t>C2) Cultural Oppression leads to violence</w:t>
          </w:r>
          <w:r>
            <w:rPr>
              <w:noProof/>
            </w:rPr>
            <w:tab/>
          </w:r>
          <w:r>
            <w:rPr>
              <w:noProof/>
            </w:rPr>
            <w:fldChar w:fldCharType="begin"/>
          </w:r>
          <w:r>
            <w:rPr>
              <w:noProof/>
            </w:rPr>
            <w:instrText xml:space="preserve"> PAGEREF _Toc271701376 \h </w:instrText>
          </w:r>
          <w:r>
            <w:rPr>
              <w:noProof/>
            </w:rPr>
          </w:r>
          <w:r>
            <w:rPr>
              <w:noProof/>
            </w:rPr>
            <w:fldChar w:fldCharType="separate"/>
          </w:r>
          <w:r>
            <w:rPr>
              <w:noProof/>
            </w:rPr>
            <w:t>26</w:t>
          </w:r>
          <w:r>
            <w:rPr>
              <w:noProof/>
            </w:rPr>
            <w:fldChar w:fldCharType="end"/>
          </w:r>
        </w:p>
        <w:p w14:paraId="478A4B39" w14:textId="77777777" w:rsidR="00AA6CE9" w:rsidRDefault="00AA6CE9">
          <w:pPr>
            <w:pStyle w:val="TOC3"/>
            <w:tabs>
              <w:tab w:val="right" w:leader="dot" w:pos="9350"/>
            </w:tabs>
            <w:rPr>
              <w:noProof/>
            </w:rPr>
          </w:pPr>
          <w:r>
            <w:rPr>
              <w:noProof/>
            </w:rPr>
            <w:t>C3) Rejection of the mentality of the resolution is the first of many steps towards opening political discourse that will ultimately allow for difference to flourish and solvency of not only women’s rights but human rights.</w:t>
          </w:r>
          <w:r>
            <w:rPr>
              <w:noProof/>
            </w:rPr>
            <w:tab/>
          </w:r>
          <w:r>
            <w:rPr>
              <w:noProof/>
            </w:rPr>
            <w:fldChar w:fldCharType="begin"/>
          </w:r>
          <w:r>
            <w:rPr>
              <w:noProof/>
            </w:rPr>
            <w:instrText xml:space="preserve"> PAGEREF _Toc271701377 \h </w:instrText>
          </w:r>
          <w:r>
            <w:rPr>
              <w:noProof/>
            </w:rPr>
          </w:r>
          <w:r>
            <w:rPr>
              <w:noProof/>
            </w:rPr>
            <w:fldChar w:fldCharType="separate"/>
          </w:r>
          <w:r>
            <w:rPr>
              <w:noProof/>
            </w:rPr>
            <w:t>28</w:t>
          </w:r>
          <w:r>
            <w:rPr>
              <w:noProof/>
            </w:rPr>
            <w:fldChar w:fldCharType="end"/>
          </w:r>
        </w:p>
        <w:p w14:paraId="1F749982" w14:textId="77777777" w:rsidR="00AA6CE9" w:rsidRDefault="00AA6CE9">
          <w:pPr>
            <w:pStyle w:val="TOC1"/>
            <w:tabs>
              <w:tab w:val="right" w:leader="dot" w:pos="9350"/>
            </w:tabs>
            <w:rPr>
              <w:noProof/>
            </w:rPr>
          </w:pPr>
          <w:r>
            <w:rPr>
              <w:noProof/>
            </w:rPr>
            <w:t>Blocks</w:t>
          </w:r>
          <w:r>
            <w:rPr>
              <w:noProof/>
            </w:rPr>
            <w:tab/>
          </w:r>
          <w:r>
            <w:rPr>
              <w:noProof/>
            </w:rPr>
            <w:fldChar w:fldCharType="begin"/>
          </w:r>
          <w:r>
            <w:rPr>
              <w:noProof/>
            </w:rPr>
            <w:instrText xml:space="preserve"> PAGEREF _Toc271701378 \h </w:instrText>
          </w:r>
          <w:r>
            <w:rPr>
              <w:noProof/>
            </w:rPr>
          </w:r>
          <w:r>
            <w:rPr>
              <w:noProof/>
            </w:rPr>
            <w:fldChar w:fldCharType="separate"/>
          </w:r>
          <w:r>
            <w:rPr>
              <w:noProof/>
            </w:rPr>
            <w:t>29</w:t>
          </w:r>
          <w:r>
            <w:rPr>
              <w:noProof/>
            </w:rPr>
            <w:fldChar w:fldCharType="end"/>
          </w:r>
        </w:p>
        <w:p w14:paraId="5731D4DC" w14:textId="77777777" w:rsidR="00AA6CE9" w:rsidRDefault="00AA6CE9">
          <w:pPr>
            <w:pStyle w:val="TOC3"/>
            <w:tabs>
              <w:tab w:val="right" w:leader="dot" w:pos="9350"/>
            </w:tabs>
            <w:rPr>
              <w:noProof/>
            </w:rPr>
          </w:pPr>
          <w:r>
            <w:rPr>
              <w:noProof/>
            </w:rPr>
            <w:t>Impact</w:t>
          </w:r>
          <w:r>
            <w:rPr>
              <w:noProof/>
            </w:rPr>
            <w:tab/>
          </w:r>
          <w:r>
            <w:rPr>
              <w:noProof/>
            </w:rPr>
            <w:fldChar w:fldCharType="begin"/>
          </w:r>
          <w:r>
            <w:rPr>
              <w:noProof/>
            </w:rPr>
            <w:instrText xml:space="preserve"> PAGEREF _Toc271701379 \h </w:instrText>
          </w:r>
          <w:r>
            <w:rPr>
              <w:noProof/>
            </w:rPr>
          </w:r>
          <w:r>
            <w:rPr>
              <w:noProof/>
            </w:rPr>
            <w:fldChar w:fldCharType="separate"/>
          </w:r>
          <w:r>
            <w:rPr>
              <w:noProof/>
            </w:rPr>
            <w:t>30</w:t>
          </w:r>
          <w:r>
            <w:rPr>
              <w:noProof/>
            </w:rPr>
            <w:fldChar w:fldCharType="end"/>
          </w:r>
        </w:p>
        <w:p w14:paraId="2DBFE473" w14:textId="77777777" w:rsidR="00AA6CE9" w:rsidRDefault="00AA6CE9">
          <w:pPr>
            <w:pStyle w:val="TOC3"/>
            <w:tabs>
              <w:tab w:val="right" w:leader="dot" w:pos="9350"/>
            </w:tabs>
            <w:rPr>
              <w:noProof/>
            </w:rPr>
          </w:pPr>
          <w:r>
            <w:rPr>
              <w:noProof/>
            </w:rPr>
            <w:t>Link</w:t>
          </w:r>
          <w:r>
            <w:rPr>
              <w:noProof/>
            </w:rPr>
            <w:tab/>
          </w:r>
          <w:r>
            <w:rPr>
              <w:noProof/>
            </w:rPr>
            <w:fldChar w:fldCharType="begin"/>
          </w:r>
          <w:r>
            <w:rPr>
              <w:noProof/>
            </w:rPr>
            <w:instrText xml:space="preserve"> PAGEREF _Toc271701380 \h </w:instrText>
          </w:r>
          <w:r>
            <w:rPr>
              <w:noProof/>
            </w:rPr>
          </w:r>
          <w:r>
            <w:rPr>
              <w:noProof/>
            </w:rPr>
            <w:fldChar w:fldCharType="separate"/>
          </w:r>
          <w:r>
            <w:rPr>
              <w:noProof/>
            </w:rPr>
            <w:t>31</w:t>
          </w:r>
          <w:r>
            <w:rPr>
              <w:noProof/>
            </w:rPr>
            <w:fldChar w:fldCharType="end"/>
          </w:r>
        </w:p>
        <w:p w14:paraId="35ABD22A" w14:textId="77777777" w:rsidR="00AA6CE9" w:rsidRDefault="00AA6CE9">
          <w:pPr>
            <w:pStyle w:val="TOC3"/>
            <w:tabs>
              <w:tab w:val="right" w:leader="dot" w:pos="9350"/>
            </w:tabs>
            <w:rPr>
              <w:noProof/>
            </w:rPr>
          </w:pPr>
          <w:r>
            <w:rPr>
              <w:noProof/>
            </w:rPr>
            <w:t>Reject the Resolution because it has a Western Mindset</w:t>
          </w:r>
          <w:r>
            <w:rPr>
              <w:noProof/>
            </w:rPr>
            <w:tab/>
          </w:r>
          <w:r>
            <w:rPr>
              <w:noProof/>
            </w:rPr>
            <w:fldChar w:fldCharType="begin"/>
          </w:r>
          <w:r>
            <w:rPr>
              <w:noProof/>
            </w:rPr>
            <w:instrText xml:space="preserve"> PAGEREF _Toc271701381 \h </w:instrText>
          </w:r>
          <w:r>
            <w:rPr>
              <w:noProof/>
            </w:rPr>
          </w:r>
          <w:r>
            <w:rPr>
              <w:noProof/>
            </w:rPr>
            <w:fldChar w:fldCharType="separate"/>
          </w:r>
          <w:r>
            <w:rPr>
              <w:noProof/>
            </w:rPr>
            <w:t>32</w:t>
          </w:r>
          <w:r>
            <w:rPr>
              <w:noProof/>
            </w:rPr>
            <w:fldChar w:fldCharType="end"/>
          </w:r>
        </w:p>
        <w:p w14:paraId="1BAA6C8D" w14:textId="77777777" w:rsidR="00AA6CE9" w:rsidRDefault="00AA6CE9">
          <w:pPr>
            <w:pStyle w:val="TOC3"/>
            <w:tabs>
              <w:tab w:val="right" w:leader="dot" w:pos="9350"/>
            </w:tabs>
            <w:rPr>
              <w:noProof/>
            </w:rPr>
          </w:pPr>
          <w:r>
            <w:rPr>
              <w:noProof/>
            </w:rPr>
            <w:t>The resolution is dehumanizing</w:t>
          </w:r>
          <w:r>
            <w:rPr>
              <w:noProof/>
            </w:rPr>
            <w:tab/>
          </w:r>
          <w:r>
            <w:rPr>
              <w:noProof/>
            </w:rPr>
            <w:fldChar w:fldCharType="begin"/>
          </w:r>
          <w:r>
            <w:rPr>
              <w:noProof/>
            </w:rPr>
            <w:instrText xml:space="preserve"> PAGEREF _Toc271701382 \h </w:instrText>
          </w:r>
          <w:r>
            <w:rPr>
              <w:noProof/>
            </w:rPr>
          </w:r>
          <w:r>
            <w:rPr>
              <w:noProof/>
            </w:rPr>
            <w:fldChar w:fldCharType="separate"/>
          </w:r>
          <w:r>
            <w:rPr>
              <w:noProof/>
            </w:rPr>
            <w:t>34</w:t>
          </w:r>
          <w:r>
            <w:rPr>
              <w:noProof/>
            </w:rPr>
            <w:fldChar w:fldCharType="end"/>
          </w:r>
        </w:p>
        <w:p w14:paraId="74132826" w14:textId="77777777" w:rsidR="00AA6CE9" w:rsidRDefault="00AA6CE9" w:rsidP="00AA6CE9">
          <w:pPr>
            <w:jc w:val="center"/>
            <w:rPr>
              <w:b/>
              <w:bCs/>
              <w:noProof/>
            </w:rPr>
          </w:pPr>
          <w:r>
            <w:rPr>
              <w:b/>
              <w:bCs/>
              <w:noProof/>
            </w:rPr>
            <w:fldChar w:fldCharType="end"/>
          </w:r>
        </w:p>
        <w:p w14:paraId="1DF82C39" w14:textId="77777777" w:rsidR="00AA6CE9" w:rsidRDefault="00AA6CE9" w:rsidP="00AA6CE9">
          <w:pPr>
            <w:jc w:val="center"/>
            <w:rPr>
              <w:b/>
              <w:bCs/>
              <w:noProof/>
            </w:rPr>
          </w:pPr>
          <w:r>
            <w:rPr>
              <w:b/>
              <w:bCs/>
              <w:noProof/>
            </w:rPr>
            <w:t>Produced by BFI 2014 Labs</w:t>
          </w:r>
        </w:p>
        <w:p w14:paraId="54C54845" w14:textId="77777777" w:rsidR="00AA6CE9" w:rsidRDefault="00AA6CE9" w:rsidP="00AA6CE9">
          <w:pPr>
            <w:jc w:val="center"/>
          </w:pPr>
          <w:r>
            <w:rPr>
              <w:b/>
              <w:bCs/>
              <w:noProof/>
            </w:rPr>
            <w:t>Editor: Kyle Cheesewright</w:t>
          </w:r>
        </w:p>
      </w:sdtContent>
    </w:sdt>
    <w:p w14:paraId="2F72566F" w14:textId="77777777" w:rsidR="00D839F4" w:rsidRDefault="00D839F4" w:rsidP="00D839F4">
      <w:pPr>
        <w:pStyle w:val="Heading1"/>
      </w:pPr>
      <w:bookmarkStart w:id="0" w:name="_Toc271701361"/>
      <w:r>
        <w:lastRenderedPageBreak/>
        <w:t>Resolution &amp; Analysis</w:t>
      </w:r>
      <w:bookmarkEnd w:id="0"/>
    </w:p>
    <w:p w14:paraId="506AB238" w14:textId="77777777" w:rsidR="00D518BE" w:rsidRDefault="00D518BE" w:rsidP="00D518BE"/>
    <w:p w14:paraId="2843FCA4" w14:textId="77777777" w:rsidR="00D518BE" w:rsidRDefault="00D518BE" w:rsidP="00D518BE">
      <w:pPr>
        <w:pStyle w:val="Heading3"/>
      </w:pPr>
      <w:bookmarkStart w:id="1" w:name="_Toc271701362"/>
      <w:r>
        <w:lastRenderedPageBreak/>
        <w:t>United States foreign policy ought to value women’s rights over the pursuit of its economic interests when the two conflict.</w:t>
      </w:r>
      <w:bookmarkEnd w:id="1"/>
    </w:p>
    <w:p w14:paraId="533FE170" w14:textId="77777777" w:rsidR="00D518BE" w:rsidRPr="00D518BE" w:rsidRDefault="00D518BE" w:rsidP="00D518BE"/>
    <w:p w14:paraId="54B878ED" w14:textId="77777777" w:rsidR="00D518BE" w:rsidRDefault="00D518BE" w:rsidP="00D518BE">
      <w:r>
        <w:t>This is the second student produced file at the Beehive Forensics Institute.</w:t>
      </w:r>
      <w:r w:rsidR="00B87BC2">
        <w:t xml:space="preserve"> This resolution asks students to argue about the goals of United States foreign policy by proposing a fairly traditional division in focus: between economics, or human rights promotion, focusing specifically on the concept of human rights. Most of the Affirmative arguments revolve around establishing the problems with women’s rights globally, and then discusses the benefits that may arise for economic interests through a focus on women’s rights.</w:t>
      </w:r>
    </w:p>
    <w:p w14:paraId="440403E0" w14:textId="77777777" w:rsidR="00B87BC2" w:rsidRDefault="00B87BC2" w:rsidP="00D518BE">
      <w:r>
        <w:t>Internationally, the need for increased women’s rights is relatively obvious. Both domestically and internationally, women face a much harder path to be able to pursue their own agendas free from government condoned discrimination. Control over bodies, basic labor standards, and sexually repressive systems all make the struggle for women’s rights particularly important, and each and every one of these focus areas could be a productive route to pursue when discussing the needs for women’s rights. Currently, the affirmative case that was selected out of the lab work makes the argument that we need to focus on women’s rights in order to prevent serious abuses. This case chooses to make most of its harms claims through the work of narrative, meaning that the case is connected with the stories of those who suffer abuses of women’s rights internationally.</w:t>
      </w:r>
    </w:p>
    <w:p w14:paraId="691571CD" w14:textId="77777777" w:rsidR="00B87BC2" w:rsidRDefault="00B87BC2" w:rsidP="00D518BE">
      <w:r>
        <w:t xml:space="preserve">On the negative, the case that was selected out of the student lab work proposes that defining women’s rights is one of the primary areas of difficulty for this resolution. The negative case relies on a critique of “women’s rights” discourse drawing from transnational feminist perspectives. What this argument proposes is that the attempt to define women’s rights by the United States results in a colonial expansion of “white feminism” under which the needs and desires of Western Feminists are cast as universal. The case also argues that in casting this culturally specific form of women’s rights as universal, the United States is responsible for propping up problematic foreign policy which is ultimately counterproductive. Consider, for example, the way that women’s rights discourse was used in order to justify intervention in Afghanistan, when the goal was certainly not actually to increase women’s rights, and has, according to many, resulted in the opposite. </w:t>
      </w:r>
      <w:proofErr w:type="gramStart"/>
      <w:r>
        <w:t>A crackdown on the rights of women within the society, under the discursive banner of increasing women’s rights.</w:t>
      </w:r>
      <w:proofErr w:type="gramEnd"/>
    </w:p>
    <w:p w14:paraId="76BBC5F9" w14:textId="77777777" w:rsidR="00B87BC2" w:rsidRPr="00D518BE" w:rsidRDefault="00B87BC2" w:rsidP="00D518BE">
      <w:r>
        <w:t>Overall, this research should provide debaters with a good starting point for research on this topic. In order to be successful during the year, I would strongly encourage debaters to use this evidence as an initial jumping off point, and to research and compose additional arguments where these cases might have weak points, or be missing some of the claims that are necessary to the overarching strategy. Great work at the BFI to all who participated, and we all look forward to seeing how everyone does throughout the year!</w:t>
      </w:r>
    </w:p>
    <w:p w14:paraId="1CA6CF01" w14:textId="77777777" w:rsidR="002B4247" w:rsidRPr="00D839F4" w:rsidRDefault="002B4247" w:rsidP="00D839F4">
      <w:pPr>
        <w:pStyle w:val="Heading1"/>
      </w:pPr>
      <w:bookmarkStart w:id="2" w:name="_Toc271701363"/>
      <w:r w:rsidRPr="00D839F4">
        <w:lastRenderedPageBreak/>
        <w:t>Affirmative Case</w:t>
      </w:r>
      <w:bookmarkEnd w:id="2"/>
    </w:p>
    <w:p w14:paraId="4660226B" w14:textId="77777777" w:rsidR="002B4247" w:rsidRPr="00D839F4" w:rsidRDefault="002B4247" w:rsidP="00D839F4">
      <w:pPr>
        <w:pStyle w:val="Heading3"/>
      </w:pPr>
      <w:bookmarkStart w:id="3" w:name="_Toc271701364"/>
      <w:r w:rsidRPr="00D839F4">
        <w:lastRenderedPageBreak/>
        <w:t>Framework</w:t>
      </w:r>
      <w:bookmarkEnd w:id="3"/>
    </w:p>
    <w:p w14:paraId="71154087" w14:textId="77777777" w:rsidR="002B4247" w:rsidRPr="00D839F4" w:rsidRDefault="002B4247" w:rsidP="00D839F4">
      <w:pPr>
        <w:pStyle w:val="Heading4"/>
      </w:pPr>
      <w:r w:rsidRPr="00D839F4">
        <w:t>V: Morality</w:t>
      </w:r>
    </w:p>
    <w:p w14:paraId="57597D31" w14:textId="77777777" w:rsidR="002B4247" w:rsidRPr="00D839F4" w:rsidRDefault="002B4247" w:rsidP="00D839F4">
      <w:pPr>
        <w:pStyle w:val="Heading4"/>
      </w:pPr>
      <w:r w:rsidRPr="00D839F4">
        <w:t>C: Deontology</w:t>
      </w:r>
    </w:p>
    <w:p w14:paraId="1F24AE46" w14:textId="77777777" w:rsidR="002B4247" w:rsidRPr="00D839F4" w:rsidRDefault="002B4247" w:rsidP="00D839F4">
      <w:pPr>
        <w:rPr>
          <w:rStyle w:val="Style13ptBold"/>
        </w:rPr>
      </w:pPr>
      <w:proofErr w:type="spellStart"/>
      <w:r w:rsidRPr="00D839F4">
        <w:rPr>
          <w:rStyle w:val="Style13ptBold"/>
        </w:rPr>
        <w:t>Korsgaard</w:t>
      </w:r>
      <w:proofErr w:type="spellEnd"/>
      <w:r w:rsidRPr="00D839F4">
        <w:rPr>
          <w:rStyle w:val="Style13ptBold"/>
        </w:rPr>
        <w:t xml:space="preserve"> 92 </w:t>
      </w:r>
      <w:r w:rsidRPr="00D839F4">
        <w:rPr>
          <w:rStyle w:val="Style13ptBold"/>
          <w:b w:val="0"/>
        </w:rPr>
        <w:t>(Christine M., Clare’s Hall at Cambridge University, Nov 16,17 pg. 82-86)</w:t>
      </w:r>
      <w:r w:rsidRPr="00D839F4">
        <w:rPr>
          <w:rStyle w:val="Style13ptBold"/>
        </w:rPr>
        <w:t xml:space="preserve"> </w:t>
      </w:r>
    </w:p>
    <w:p w14:paraId="5D3E755D" w14:textId="77777777" w:rsidR="002B4247" w:rsidRPr="00D839F4" w:rsidRDefault="002B4247" w:rsidP="00D839F4">
      <w:r w:rsidRPr="00D839F4">
        <w:t xml:space="preserve">Those who think that the human mind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 consciousness” because it forces us to have a conception of ourselves. 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for you when you deliberate. When you deliberate, it is as if there were something over and above all of your desires, something that is you, and that chooses which desire to act on. This means that the principle or law by which you determine your actions is one that you regard as being expressive of yourself. To identify with such a principle or law is to be, in St. Paul’s famous phrase, a law to </w:t>
      </w:r>
      <w:proofErr w:type="gramStart"/>
      <w:r w:rsidRPr="00D839F4">
        <w:t>yourself</w:t>
      </w:r>
      <w:proofErr w:type="gramEnd"/>
      <w:r w:rsidRPr="00D839F4">
        <w:t xml:space="preserve">. An agent 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 thinks of herself will determine whether it is the law of the Kingdom of Ends, or the law of some smaller group, or the law of the egoist, or the law of the wanton that is the law that she is to herself. The conception of one’s identity in question here is not a theoretical one, a view about what as a matter of inescapable scientific fact you are. It is better understood as a description under which you value yourself, a description under which you find your life to be worth living and your actions 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 these identities give rise to reasons and obligations. Your reasons express your identity, your nature; your obligations spring from what that identity forbids. Our ordinary ways of talking about obligation reflect this connection to identity. A century ago a European could admonish another to civilized behavior by telling him to act like a Christian. It is still true in many quarters that courage is urged on males by the injunction “Be a man!” Duties more obviously connected with social roles are of course enforced in this way. “A psychiatrist doesn’t violate the confidence of her patients.” No “ought” is needed here because the normativity is built right into the role. But it isn’t only in the case of social roles that the idea of obligation invokes the conception of practical identity. Consider the astonishing but familiar “I couldn’t live with myself if I did that.” Clearly there are two selves here, me and the one I must live with and so must not fail. Or consider the protest against obligation </w:t>
      </w:r>
      <w:proofErr w:type="gramStart"/>
      <w:r w:rsidRPr="00D839F4">
        <w:t>ignored :</w:t>
      </w:r>
      <w:proofErr w:type="gramEnd"/>
      <w:r w:rsidRPr="00D839F4">
        <w:t xml:space="preserve"> “Just who do you think you are ?” The connection is also present in the concept of integrity. Etymologically, integrity is </w:t>
      </w:r>
      <w:proofErr w:type="gramStart"/>
      <w:r w:rsidRPr="00D839F4">
        <w:t>oneness,</w:t>
      </w:r>
      <w:proofErr w:type="gramEnd"/>
      <w:r w:rsidRPr="00D839F4">
        <w:t xml:space="preserve"> integration is what makes something one. To be a thing, one thing, a unity, an entity; to be anything at all: in the metaphysical sense, that is what it means to have integrity. But we use the term for someone who lives up to his own standards. And that is because we think that living up to them is what makes him one, and so what </w:t>
      </w:r>
      <w:r w:rsidRPr="00D839F4">
        <w:lastRenderedPageBreak/>
        <w:t xml:space="preserve">makes him a person at all. It is the conceptions of ourselves that are most important to us that give rise to unconditional obligations. For to violate them is to lose your integrity and so your identity, and no longer to be who you are. That is, it is no longer to be able to think of yourself under the description under which you value yourself and find your life worth living and your actions worth undertaking. That is to be for all practical purposes dead or worse than dead. When an action cannot be performed without loss of some fundamental part of one’s identity, and an agent would rather be dead, then the obligation not to do it is unconditional and complete. If reasons arise from reflective endorsement, then obligation arises from reflective rejection. </w:t>
      </w:r>
    </w:p>
    <w:p w14:paraId="40296AFE" w14:textId="77777777" w:rsidR="002B4247" w:rsidRPr="00D839F4" w:rsidRDefault="002B4247" w:rsidP="00D839F4"/>
    <w:p w14:paraId="0FFA75EE" w14:textId="77777777" w:rsidR="002B4247" w:rsidRPr="00D839F4" w:rsidRDefault="002B4247" w:rsidP="00D839F4">
      <w:pPr>
        <w:pStyle w:val="Heading3"/>
      </w:pPr>
      <w:bookmarkStart w:id="4" w:name="_Toc271701365"/>
      <w:r w:rsidRPr="00D839F4">
        <w:lastRenderedPageBreak/>
        <w:t>Contention One: Allowing Women’s Rights to be Violated Reflects Our Identity</w:t>
      </w:r>
      <w:bookmarkEnd w:id="4"/>
    </w:p>
    <w:p w14:paraId="168AF545" w14:textId="77777777" w:rsidR="002B4247" w:rsidRPr="00D839F4" w:rsidRDefault="002B4247" w:rsidP="00D839F4">
      <w:pPr>
        <w:pStyle w:val="Heading4"/>
      </w:pPr>
      <w:r w:rsidRPr="00D839F4">
        <w:t>Valuing Economic Interests over women’s rights hurts all human’s rights:</w:t>
      </w:r>
    </w:p>
    <w:p w14:paraId="6BF00851" w14:textId="77777777" w:rsidR="002B4247" w:rsidRPr="00D839F4" w:rsidRDefault="002B4247" w:rsidP="00D839F4">
      <w:pPr>
        <w:rPr>
          <w:rStyle w:val="Style13ptBold"/>
        </w:rPr>
      </w:pPr>
      <w:r w:rsidRPr="00D839F4">
        <w:rPr>
          <w:rStyle w:val="Style13ptBold"/>
        </w:rPr>
        <w:t>Donald M. Seekins</w:t>
      </w:r>
      <w:proofErr w:type="gramStart"/>
      <w:r w:rsidRPr="00D839F4">
        <w:rPr>
          <w:rStyle w:val="Style13ptBold"/>
        </w:rPr>
        <w:t>,2005</w:t>
      </w:r>
      <w:proofErr w:type="gramEnd"/>
      <w:r w:rsidRPr="00D839F4">
        <w:rPr>
          <w:rStyle w:val="Style13ptBold"/>
        </w:rPr>
        <w:t xml:space="preserve"> </w:t>
      </w:r>
      <w:r w:rsidRPr="00D839F4">
        <w:rPr>
          <w:rStyle w:val="Style13ptBold"/>
          <w:b w:val="0"/>
        </w:rPr>
        <w:t>(author of disorder in order, Source: Asian Survey, Vol. 45, No. 3 (May/June 2005), pp. 437-452,Published by: University of California Press, Burma and U.S. Sanctions: Punishing an Authoritarian Regime):</w:t>
      </w:r>
    </w:p>
    <w:p w14:paraId="727C0ABA" w14:textId="77777777" w:rsidR="002B4247" w:rsidRPr="00D839F4" w:rsidRDefault="002B4247" w:rsidP="00D839F4">
      <w:r w:rsidRPr="00D839F4">
        <w:t>The purpose of Washington’s Burma sanctions is twofold: to express disapproval of the regime’s objectionable behavior, giving moral support to the democratic opposition (sanctions as symbolic expression); and to force the regime, through negative reinforcements, to change that behavior (sanctions as behavior modification). As a symbolic gesture, the Burmese Freedom and Democracy Act was effective insofar as it helped focus international attention on Burma, at least during summer and fall 2003. It is the “behavior modification” dimension that needs to be examined more closely. Advocates of tough Burma sanctions believe that if enough pain is inflicted, the regime will make the desired concessions.</w:t>
      </w:r>
      <w:r w:rsidR="00545A1F" w:rsidRPr="00D839F4">
        <w:t xml:space="preserve"> </w:t>
      </w:r>
      <w:r w:rsidRPr="00D839F4">
        <w:t xml:space="preserve">On the evening of May 30, 2003, </w:t>
      </w:r>
      <w:proofErr w:type="spellStart"/>
      <w:r w:rsidRPr="00D839F4">
        <w:t>Daw</w:t>
      </w:r>
      <w:proofErr w:type="spellEnd"/>
      <w:r w:rsidRPr="00D839F4">
        <w:t xml:space="preserve"> Aung San Suu Kyi and members of her National League for Democracy (NLD), returning from a visit to </w:t>
      </w:r>
      <w:proofErr w:type="spellStart"/>
      <w:r w:rsidRPr="00D839F4">
        <w:t>Kachin</w:t>
      </w:r>
      <w:proofErr w:type="spellEnd"/>
      <w:r w:rsidRPr="00D839F4">
        <w:t xml:space="preserve"> State, were attacked by a large gang of men armed with bamboo staves, iron pipes, and slingshots. The incident occurred near the town of </w:t>
      </w:r>
      <w:proofErr w:type="spellStart"/>
      <w:r w:rsidRPr="00D839F4">
        <w:t>Depayin</w:t>
      </w:r>
      <w:proofErr w:type="spellEnd"/>
      <w:r w:rsidRPr="00D839F4">
        <w:t xml:space="preserve"> (</w:t>
      </w:r>
      <w:proofErr w:type="spellStart"/>
      <w:r w:rsidRPr="00D839F4">
        <w:t>Tabayin</w:t>
      </w:r>
      <w:proofErr w:type="spellEnd"/>
      <w:r w:rsidRPr="00D839F4">
        <w:t xml:space="preserve">) in </w:t>
      </w:r>
      <w:proofErr w:type="spellStart"/>
      <w:r w:rsidRPr="00D839F4">
        <w:t>Sagaing</w:t>
      </w:r>
      <w:proofErr w:type="spellEnd"/>
      <w:r w:rsidRPr="00D839F4">
        <w:t xml:space="preserve"> Division, northwest of Mandalay. The attackers were members of a pro-military-regime group, the Union Solidarity and Development Association (USDA). 1 According to the State Peace and Development Council (SPDC, the military junta that has run Burma since 1988, known before 1997 as the State Law and Order Restoration Council, SLORC), four people died in the violence and 50 were wounded. But other sources, based on eyewitness reports, claim that the actual number was much higher, as many as 70 or 80 killed.</w:t>
      </w:r>
    </w:p>
    <w:p w14:paraId="1BB472CA" w14:textId="77777777" w:rsidR="002B4247" w:rsidRPr="00D839F4" w:rsidRDefault="002B4247" w:rsidP="00D839F4">
      <w:pPr>
        <w:pStyle w:val="Heading4"/>
      </w:pPr>
      <w:r w:rsidRPr="00D839F4">
        <w:t>Genital Mutilation is Unacceptable</w:t>
      </w:r>
    </w:p>
    <w:p w14:paraId="74A4748A" w14:textId="77777777" w:rsidR="002B4247" w:rsidRPr="00D839F4" w:rsidRDefault="002B4247" w:rsidP="00D839F4">
      <w:pPr>
        <w:rPr>
          <w:rStyle w:val="Style13ptBold"/>
        </w:rPr>
      </w:pPr>
      <w:proofErr w:type="spellStart"/>
      <w:r w:rsidRPr="00D839F4">
        <w:rPr>
          <w:rStyle w:val="Style13ptBold"/>
        </w:rPr>
        <w:t>Dorkeeno</w:t>
      </w:r>
      <w:proofErr w:type="spellEnd"/>
      <w:r w:rsidRPr="00D839F4">
        <w:rPr>
          <w:rStyle w:val="Style13ptBold"/>
        </w:rPr>
        <w:t xml:space="preserve"> 2006, </w:t>
      </w:r>
      <w:r w:rsidRPr="00D839F4">
        <w:rPr>
          <w:rStyle w:val="Style13ptBold"/>
          <w:b w:val="0"/>
        </w:rPr>
        <w:t>(</w:t>
      </w:r>
      <w:proofErr w:type="spellStart"/>
      <w:r w:rsidRPr="00D839F4">
        <w:rPr>
          <w:rStyle w:val="Style13ptBold"/>
          <w:b w:val="0"/>
        </w:rPr>
        <w:t>Efua</w:t>
      </w:r>
      <w:proofErr w:type="spellEnd"/>
      <w:r w:rsidRPr="00D839F4">
        <w:rPr>
          <w:rStyle w:val="Style13ptBold"/>
          <w:b w:val="0"/>
        </w:rPr>
        <w:t xml:space="preserve"> </w:t>
      </w:r>
      <w:proofErr w:type="spellStart"/>
      <w:r w:rsidRPr="00D839F4">
        <w:rPr>
          <w:rStyle w:val="Style13ptBold"/>
          <w:b w:val="0"/>
        </w:rPr>
        <w:t>Ghanian</w:t>
      </w:r>
      <w:proofErr w:type="spellEnd"/>
      <w:r w:rsidRPr="00D839F4">
        <w:rPr>
          <w:rStyle w:val="Style13ptBold"/>
          <w:b w:val="0"/>
        </w:rPr>
        <w:t xml:space="preserve"> Women’s Rights activist, Female Genital Mutilation pg. 397 published 2006)</w:t>
      </w:r>
    </w:p>
    <w:p w14:paraId="6417C512" w14:textId="77777777" w:rsidR="002B4247" w:rsidRPr="00D839F4" w:rsidRDefault="002B4247" w:rsidP="00D839F4">
      <w:r w:rsidRPr="00D839F4">
        <w:t xml:space="preserve">Female genital mutilation is an extreme example of the general subjugation of Women, sufficiently extreme and horrifying to make Women and men question the basis of what is done to women, what women have accepted and why, in the name of society and </w:t>
      </w:r>
      <w:proofErr w:type="spellStart"/>
      <w:r w:rsidRPr="00D839F4">
        <w:t>tradition.Health</w:t>
      </w:r>
      <w:proofErr w:type="spellEnd"/>
      <w:r w:rsidRPr="00D839F4">
        <w:t xml:space="preserve"> risks and complications depend on the gravity of the mutilation, hygienic conditions, the skill and eyesight of the operator, and the struggles of the child. Whether immediate or long term, they are grave. Death from bleeding is not uncommon, while long-term complications include chronic infections of the uterus and vagina, painful menstruation, severe pain during intercourse, sterility, and complications during </w:t>
      </w:r>
      <w:proofErr w:type="spellStart"/>
      <w:r w:rsidRPr="00D839F4">
        <w:t>childbirth.Many</w:t>
      </w:r>
      <w:proofErr w:type="spellEnd"/>
      <w:r w:rsidRPr="00D839F4">
        <w:t xml:space="preserve"> personal accounts and research findings contain repeated references to anxiety prior to the operation, terror and the moment of being seized by an aunt or village matron, unbearable pain, and the subsequent sense of humiliation and of being betrayed by </w:t>
      </w:r>
      <w:proofErr w:type="spellStart"/>
      <w:r w:rsidRPr="00D839F4">
        <w:t>parents.An</w:t>
      </w:r>
      <w:proofErr w:type="spellEnd"/>
      <w:r w:rsidRPr="00D839F4">
        <w:t xml:space="preserve"> adult is free to submit her or himself to a ritual or tradition, but a child, having no formed judgment, does not consent but simply undergoes the operation while she is totally vulnerable. The descriptions available of the reactions of children panic and shock from extreme pain, biting through the tongue, convulsions, necessity for six adults to hold down an eight-year-old, and death-indicate a practice comparable to torture.</w:t>
      </w:r>
    </w:p>
    <w:p w14:paraId="7EF035F3" w14:textId="77777777" w:rsidR="002B4247" w:rsidRPr="00D839F4" w:rsidRDefault="002B4247" w:rsidP="00D839F4">
      <w:pPr>
        <w:pStyle w:val="Heading4"/>
      </w:pPr>
      <w:r w:rsidRPr="00D839F4">
        <w:lastRenderedPageBreak/>
        <w:t>Victoria’s Story</w:t>
      </w:r>
    </w:p>
    <w:p w14:paraId="6052B97D" w14:textId="77777777" w:rsidR="002B4247" w:rsidRPr="00D839F4" w:rsidRDefault="002B4247" w:rsidP="00D839F4">
      <w:pPr>
        <w:rPr>
          <w:rStyle w:val="Style13ptBold"/>
        </w:rPr>
      </w:pPr>
      <w:r w:rsidRPr="00D839F4">
        <w:rPr>
          <w:rStyle w:val="Style13ptBold"/>
        </w:rPr>
        <w:t>('My Sleep Is My Break' Exploitation Of Migrant Domestic Workers In Qatar. Amnesty International USA. April 23, 2014.)</w:t>
      </w:r>
    </w:p>
    <w:p w14:paraId="60A2E752" w14:textId="77777777" w:rsidR="002B4247" w:rsidRPr="00D839F4" w:rsidRDefault="002B4247" w:rsidP="00D839F4">
      <w:r w:rsidRPr="00D839F4">
        <w:t>'Victoria' had not been particularly unhappy with her job until it came to the December holidays. She had arrived in Qatar in August 2012 from her home in the Philippines to work for an expatriate family in their Doha home, cleaning and looking after their children. Her hours were very long, starting at 05:00 every morning and working until about 20:00 in the evening, sometimes later. But, she told Amnesty International, she had a day off work every Friday, and she always got her monthly salary of 1,000 riyals [US$275] a month. However, in December 2012, Victoria's workload increased to extreme levels. Twelve family relatives from Australia came to visit for the month, and she had to work flat-out to serve the house, with virtually no rest and no days off. Four of the group stayed for a further month and a half. When they left, she asked her employers to increase her wages for this period, to reflect the additional work she had done. Their response, according to Victoria, was to make her working conditions worse. For a month, she was not allowed out of the house, had no days off and was not allowed to speak to her friends. Her salary was docked. "Because I answered back I was punished. They removed 100 riyals [US$27.50] from my monthly salary. Now I am only allowed a day-off twice a month. I have said to her, 'if you don't want me, send me back [home].'... I am supposed to have a holiday after I have worked for one year but I don't know if they will let me yet."</w:t>
      </w:r>
    </w:p>
    <w:p w14:paraId="649118BE" w14:textId="77777777" w:rsidR="002B4247" w:rsidRPr="00D839F4" w:rsidRDefault="002B4247" w:rsidP="00D839F4">
      <w:pPr>
        <w:pStyle w:val="Heading4"/>
      </w:pPr>
      <w:r w:rsidRPr="00D839F4">
        <w:t>China Forced Abortion Consequences</w:t>
      </w:r>
    </w:p>
    <w:p w14:paraId="2D6F16B4" w14:textId="77777777" w:rsidR="002B4247" w:rsidRPr="00D839F4" w:rsidRDefault="00D839F4" w:rsidP="00D839F4">
      <w:pPr>
        <w:rPr>
          <w:rStyle w:val="Style13ptBold"/>
        </w:rPr>
      </w:pPr>
      <w:r>
        <w:rPr>
          <w:rStyle w:val="Style13ptBold"/>
        </w:rPr>
        <w:t>Tang, 2014</w:t>
      </w:r>
      <w:r w:rsidR="002B4247" w:rsidRPr="00D839F4">
        <w:rPr>
          <w:rStyle w:val="Style13ptBold"/>
        </w:rPr>
        <w:t xml:space="preserve"> </w:t>
      </w:r>
      <w:proofErr w:type="spellStart"/>
      <w:r w:rsidR="002B4247" w:rsidRPr="00D839F4">
        <w:rPr>
          <w:rStyle w:val="Style13ptBold"/>
          <w:b w:val="0"/>
        </w:rPr>
        <w:t>Didi</w:t>
      </w:r>
      <w:proofErr w:type="spellEnd"/>
      <w:r w:rsidR="002B4247" w:rsidRPr="00D839F4">
        <w:rPr>
          <w:rStyle w:val="Style13ptBold"/>
          <w:b w:val="0"/>
        </w:rPr>
        <w:t xml:space="preserve">, Associated Press journalist “FORCED ABORTIONS HIGHLIGHT ABUSES IN CHINA POLICY” </w:t>
      </w:r>
      <w:proofErr w:type="gramStart"/>
      <w:r w:rsidR="002B4247" w:rsidRPr="00D839F4">
        <w:rPr>
          <w:rStyle w:val="Style13ptBold"/>
          <w:b w:val="0"/>
        </w:rPr>
        <w:t>( Jan</w:t>
      </w:r>
      <w:proofErr w:type="gramEnd"/>
      <w:r w:rsidR="002B4247" w:rsidRPr="00D839F4">
        <w:rPr>
          <w:rStyle w:val="Style13ptBold"/>
          <w:b w:val="0"/>
        </w:rPr>
        <w:t>. 10, 2014)</w:t>
      </w:r>
    </w:p>
    <w:p w14:paraId="19C6BD87" w14:textId="77777777" w:rsidR="002B4247" w:rsidRPr="00D839F4" w:rsidRDefault="002B4247" w:rsidP="00D839F4">
      <w:r w:rsidRPr="00D839F4">
        <w:t xml:space="preserve"> When her mind is clear, Gong </w:t>
      </w:r>
      <w:proofErr w:type="spellStart"/>
      <w:r w:rsidRPr="00D839F4">
        <w:t>Qifeng</w:t>
      </w:r>
      <w:proofErr w:type="spellEnd"/>
      <w:r w:rsidRPr="00D839F4">
        <w:t xml:space="preserve"> [A Chinese woman] can recall how she begged for mercy. Several people pinned her head, arms, knees and ankles to a hospital bed before driving a syringe of labor-inducing drugs into her stomach. She was seven months pregnant with what would have been her second boy. The drugs caused her to have a stillborn baby after 35 hours of excruciating pain. She was forced to have the abortion by officials in China's southern province of Hunan in the name of complying with national limits on family size. “It was the pain of my lifetime, worse than the pain of delivering a child. You cannot describe it," Gong, 25, said in a recent interview in Beijing. "And it has become a mental pain. I feel like a walking corpse." Since the abortion more than two years ago, Gong [she] has been diagnosed with schizophrenia. She traveled with her husband to the capital to demand help paying for her treatment, but she ended up being hauled away in her pajamas by police, a detention recorded on video by The Associated Press.[China has] performed an estimated 336 million abortions over the past four decades as part of the family planning policy also performed 196 million sterilizations and has inserted 403 million intrauterine devices, “a normal birth control procedure in the west but one that local officials often force on women in China,” reported the Times.</w:t>
      </w:r>
    </w:p>
    <w:p w14:paraId="7861981D" w14:textId="77777777" w:rsidR="002B4247" w:rsidRPr="00D839F4" w:rsidRDefault="002B4247" w:rsidP="00D839F4">
      <w:pPr>
        <w:pStyle w:val="Heading4"/>
      </w:pPr>
      <w:r w:rsidRPr="00D839F4">
        <w:t>Mexican Officials Harming Women</w:t>
      </w:r>
    </w:p>
    <w:p w14:paraId="531599F4" w14:textId="77777777" w:rsidR="002B4247" w:rsidRPr="00D839F4" w:rsidRDefault="002B4247" w:rsidP="00D839F4">
      <w:pPr>
        <w:rPr>
          <w:rStyle w:val="Style13ptBold"/>
        </w:rPr>
      </w:pPr>
      <w:r w:rsidRPr="00D839F4">
        <w:rPr>
          <w:rStyle w:val="Style13ptBold"/>
        </w:rPr>
        <w:t xml:space="preserve">Wright 2012, </w:t>
      </w:r>
      <w:r w:rsidRPr="00D839F4">
        <w:rPr>
          <w:rStyle w:val="Style13ptBold"/>
          <w:b w:val="0"/>
        </w:rPr>
        <w:t xml:space="preserve">(Jessica, counterterrorism analyst </w:t>
      </w:r>
      <w:proofErr w:type="spellStart"/>
      <w:r w:rsidRPr="00D839F4">
        <w:rPr>
          <w:rStyle w:val="Style13ptBold"/>
          <w:b w:val="0"/>
        </w:rPr>
        <w:t>DoD</w:t>
      </w:r>
      <w:proofErr w:type="spellEnd"/>
      <w:r w:rsidRPr="00D839F4">
        <w:rPr>
          <w:rStyle w:val="Style13ptBold"/>
          <w:b w:val="0"/>
        </w:rPr>
        <w:t>, Women Under Siege, Women’s Media Center, (December, 7, 2012)</w:t>
      </w:r>
    </w:p>
    <w:p w14:paraId="7EC00492" w14:textId="77777777" w:rsidR="002B4247" w:rsidRPr="00D839F4" w:rsidRDefault="002B4247" w:rsidP="00D839F4">
      <w:r w:rsidRPr="00D839F4">
        <w:t xml:space="preserve">A silent, gendered war is also being waged against women throughout the country. Women are being raped, strangled, and tortured, their bodies mutilated and discarded in desolate locations, sending a </w:t>
      </w:r>
      <w:r w:rsidRPr="00D839F4">
        <w:lastRenderedPageBreak/>
        <w:t xml:space="preserve">message to Mexican society: Women’s lives are expendable. Their predators will not be punished. Professor </w:t>
      </w:r>
      <w:hyperlink r:id="rId9" w:history="1">
        <w:r w:rsidRPr="00D839F4">
          <w:rPr>
            <w:rStyle w:val="Hyperlink"/>
          </w:rPr>
          <w:t xml:space="preserve">Rosa-Linda </w:t>
        </w:r>
        <w:proofErr w:type="spellStart"/>
        <w:r w:rsidRPr="00D839F4">
          <w:rPr>
            <w:rStyle w:val="Hyperlink"/>
          </w:rPr>
          <w:t>Fregoso</w:t>
        </w:r>
        <w:proofErr w:type="spellEnd"/>
      </w:hyperlink>
      <w:r w:rsidRPr="00D839F4">
        <w:t xml:space="preserve"> of the Latin American &amp; Latino Studies Department at University of California, Santa Cruz, explained to WMC’s Women Under Siege: “There is a common, grave mentality that wants to lump all the violence within the war on drugs and not to differentiate. Both kinds of violence are interrelated; violence against women flourishes and proliferates in societies where force and violence are seen as a legitimate response to conflict.” </w:t>
      </w:r>
      <w:proofErr w:type="spellStart"/>
      <w:r w:rsidRPr="00D839F4">
        <w:t>Marusia</w:t>
      </w:r>
      <w:proofErr w:type="spellEnd"/>
      <w:r w:rsidRPr="00D839F4">
        <w:t xml:space="preserve"> Lopez Cruz, the Mesoamerica Regional Coordinator of the international women’s rights organization, </w:t>
      </w:r>
      <w:hyperlink r:id="rId10" w:history="1">
        <w:r w:rsidRPr="00D839F4">
          <w:rPr>
            <w:rStyle w:val="Hyperlink"/>
          </w:rPr>
          <w:t>JASS (Just Associates)</w:t>
        </w:r>
      </w:hyperlink>
      <w:r w:rsidRPr="00D839F4">
        <w:t xml:space="preserve">, told us that one Mexican woman is raped every four minutes—amounting to 120,000 rapes per year. Gender-based violence in Mexico is closely associated with Ciudad </w:t>
      </w:r>
      <w:proofErr w:type="spellStart"/>
      <w:r w:rsidRPr="00D839F4">
        <w:t>Juárez</w:t>
      </w:r>
      <w:proofErr w:type="spellEnd"/>
      <w:r w:rsidRPr="00D839F4">
        <w:t>, a border town on the Rio Grande River facing El Paso, Texas, shortly following the passage of the North American Trade Agreement (NAFTA) in 1994. Trade barriers had been lowered, factories sprung up, and many rural Mexicans who formerly farmed for a living—including a significant number of women—were forced to migrate to border cities in search of work.</w:t>
      </w:r>
    </w:p>
    <w:p w14:paraId="277C5A90" w14:textId="77777777" w:rsidR="002B4247" w:rsidRPr="00D839F4" w:rsidRDefault="002B4247" w:rsidP="00D839F4">
      <w:r w:rsidRPr="00D839F4">
        <w:t xml:space="preserve">To exert power: A </w:t>
      </w:r>
      <w:hyperlink r:id="rId11" w:history="1">
        <w:r w:rsidRPr="00D839F4">
          <w:rPr>
            <w:rStyle w:val="Hyperlink"/>
          </w:rPr>
          <w:t>2012 report</w:t>
        </w:r>
      </w:hyperlink>
      <w:r w:rsidRPr="00D839F4">
        <w:t xml:space="preserve"> analyzing the effects of violence on women in Mexico, co-produced by the </w:t>
      </w:r>
      <w:hyperlink r:id="rId12" w:history="1">
        <w:r w:rsidRPr="00D839F4">
          <w:rPr>
            <w:rStyle w:val="Hyperlink"/>
          </w:rPr>
          <w:t>Nobel Women’s Initiative</w:t>
        </w:r>
      </w:hyperlink>
      <w:r w:rsidRPr="00D839F4">
        <w:t xml:space="preserve"> and JASS, found that government officials and their security forces were often the worst perpetrators of sexualized violence and used it as a tool to “intimidate and subdue” women. The 45,000 troops deployed by President Felipe </w:t>
      </w:r>
      <w:proofErr w:type="spellStart"/>
      <w:r w:rsidRPr="00D839F4">
        <w:t>Calderón</w:t>
      </w:r>
      <w:proofErr w:type="spellEnd"/>
      <w:r w:rsidRPr="00D839F4">
        <w:t xml:space="preserve"> Hinojosa in 2007 to fight drug cartels contributed to a growing culture of violence and fear, especially for women, youth, indigenous communities, and migrants who are vulnerable in the face of the corrupt and often misogynist security institutions. Francisco González, a professor of Latin American Studies at Johns Hopkins University’s School of Advanced International Studies in Washington, argues in a 2011 </w:t>
      </w:r>
      <w:hyperlink r:id="rId13" w:history="1">
        <w:r w:rsidRPr="00D839F4">
          <w:rPr>
            <w:rStyle w:val="Hyperlink"/>
          </w:rPr>
          <w:t>Current History article</w:t>
        </w:r>
      </w:hyperlink>
      <w:r w:rsidRPr="00D839F4">
        <w:t>: “It is not far-fetched to say that the average Mexican citizen lives in fear of both criminals and public authorities.</w:t>
      </w:r>
    </w:p>
    <w:p w14:paraId="68AB1429" w14:textId="77777777" w:rsidR="002B4247" w:rsidRPr="00D839F4" w:rsidRDefault="002B4247" w:rsidP="00D839F4">
      <w:pPr>
        <w:pStyle w:val="Heading4"/>
      </w:pPr>
      <w:r w:rsidRPr="00D839F4">
        <w:t>Megan Stack Narrative</w:t>
      </w:r>
    </w:p>
    <w:p w14:paraId="06315E89" w14:textId="77777777" w:rsidR="002B4247" w:rsidRPr="00D839F4" w:rsidRDefault="002B4247" w:rsidP="00D839F4">
      <w:pPr>
        <w:rPr>
          <w:rStyle w:val="Style13ptBold"/>
        </w:rPr>
      </w:pPr>
      <w:r w:rsidRPr="00D839F4">
        <w:rPr>
          <w:rStyle w:val="Style13ptBold"/>
        </w:rPr>
        <w:t xml:space="preserve">STACK 2007 </w:t>
      </w:r>
      <w:r w:rsidRPr="00D839F4">
        <w:rPr>
          <w:rStyle w:val="Style13ptBold"/>
          <w:b w:val="0"/>
        </w:rPr>
        <w:t>(MEGAN K., covered the wars in Afghanistan, Iraq and Lebanon, as well as the Palestinian intifada. She joined the Times' national desk in 2001 as Houston bureau chief. She graduated from George Washington University in 1998, Author of Every Man in this Village is a Liar, From the archives: In Saudi Arabia, a view from behind the veil, New York Times, June 6th, 2007.)</w:t>
      </w:r>
    </w:p>
    <w:p w14:paraId="2F0467FD" w14:textId="77777777" w:rsidR="002B4247" w:rsidRPr="00D839F4" w:rsidRDefault="002B4247" w:rsidP="00D839F4">
      <w:r w:rsidRPr="00D839F4">
        <w:t>The hem of my heavy Islamic cloak trailed over floors that glistened like ice. I walked faster, my eyes fixed on a familiar, green icon. I hadn't seen a Starbucks in months, but there it was, tucked into a corner of a fancy shopping mall in the Saudi capital. After all those bitter little cups of sludgy Arabic coffee, here at last was an improbable snippet of home — caffeinated, comforting, American. I wandered into the shop, filling my lungs with the rich wafts of coffee. The man behind the counter gave me a bemused look; his eyes flickered. I asked for a latte. He shrugged, the milk steamer whined, and he handed over the brimming paper cup. I turned my back on his uneasy face. Crossing the cafe, I felt the hard stares of Saudi men. A few of them stopped talking as I walked by and watched me pass. Them, too, I ignored. Finally, coffee in hand, I sank into the sumptuous lap of an overstuffed armchair.</w:t>
      </w:r>
      <w:r w:rsidR="00D839F4">
        <w:t xml:space="preserve"> </w:t>
      </w:r>
      <w:r w:rsidRPr="00D839F4">
        <w:t>"Excuse me," hissed the voice in my ear. "You can't sit here." The man from the counter had appeared at my elbow. He was glaring.</w:t>
      </w:r>
      <w:r w:rsidR="00D839F4">
        <w:t xml:space="preserve"> </w:t>
      </w:r>
      <w:r w:rsidRPr="00D839F4">
        <w:t>"Excuse me?" I blinked a few times.</w:t>
      </w:r>
      <w:r w:rsidR="00D839F4">
        <w:t xml:space="preserve"> </w:t>
      </w:r>
      <w:r w:rsidRPr="00D839F4">
        <w:t>"</w:t>
      </w:r>
      <w:proofErr w:type="spellStart"/>
      <w:r w:rsidRPr="00D839F4">
        <w:t>Emmm</w:t>
      </w:r>
      <w:proofErr w:type="spellEnd"/>
      <w:r w:rsidRPr="00D839F4">
        <w:t>," he drew his discomfort into a long syllable, his brows knitted. "You cannot stay here."</w:t>
      </w:r>
      <w:r w:rsidR="00D839F4">
        <w:t xml:space="preserve"> </w:t>
      </w:r>
      <w:r w:rsidRPr="00D839F4">
        <w:t>"What? Uh, why?"</w:t>
      </w:r>
      <w:r w:rsidR="00D839F4">
        <w:t xml:space="preserve"> </w:t>
      </w:r>
      <w:r w:rsidRPr="00D839F4">
        <w:t>Then he said it: "Men only."</w:t>
      </w:r>
      <w:r w:rsidR="00D839F4">
        <w:t xml:space="preserve"> </w:t>
      </w:r>
      <w:r w:rsidRPr="00D839F4">
        <w:t xml:space="preserve">He didn't tell me what I would learn later: Starbucks had another, unmarked door around back that led to a smaller </w:t>
      </w:r>
      <w:r w:rsidRPr="00D839F4">
        <w:lastRenderedPageBreak/>
        <w:t>espresso bar, and a handful of tables smothered by curtains. That was the "family" section. As a woman, that's where I belonged. I had no right to mix with male customers or sit in plain view of passing shoppers. Like the segregated South of a bygone United States, today's Saudi Arabia shunts half the population into separate, inferior and usually invisible spaces.</w:t>
      </w:r>
    </w:p>
    <w:p w14:paraId="571633EB" w14:textId="77777777" w:rsidR="002B4247" w:rsidRPr="00D839F4" w:rsidRDefault="002B4247" w:rsidP="00D839F4">
      <w:pPr>
        <w:pStyle w:val="Heading3"/>
      </w:pPr>
      <w:bookmarkStart w:id="5" w:name="_Toc271701366"/>
      <w:r w:rsidRPr="00D839F4">
        <w:lastRenderedPageBreak/>
        <w:t>Contention Two: Valuing Economic Interests Above Women’s Rights is Immoral</w:t>
      </w:r>
      <w:bookmarkEnd w:id="5"/>
    </w:p>
    <w:p w14:paraId="09D2A481" w14:textId="77777777" w:rsidR="002B4247" w:rsidRPr="00D839F4" w:rsidRDefault="002B4247" w:rsidP="00D839F4"/>
    <w:p w14:paraId="70FD8C14" w14:textId="77777777" w:rsidR="002B4247" w:rsidRPr="00D839F4" w:rsidRDefault="002B4247" w:rsidP="00D839F4">
      <w:pPr>
        <w:pStyle w:val="Heading4"/>
      </w:pPr>
      <w:proofErr w:type="spellStart"/>
      <w:r w:rsidRPr="00D839F4">
        <w:t>Valueing</w:t>
      </w:r>
      <w:proofErr w:type="spellEnd"/>
      <w:r w:rsidRPr="00D839F4">
        <w:t xml:space="preserve"> Global Economy </w:t>
      </w:r>
      <w:proofErr w:type="spellStart"/>
      <w:r w:rsidRPr="00D839F4">
        <w:t>Dehuminizes</w:t>
      </w:r>
      <w:proofErr w:type="spellEnd"/>
      <w:r w:rsidRPr="00D839F4">
        <w:t xml:space="preserve"> Humanity</w:t>
      </w:r>
    </w:p>
    <w:p w14:paraId="49F3C357" w14:textId="77777777" w:rsidR="002B4247" w:rsidRPr="00D839F4" w:rsidRDefault="002B4247" w:rsidP="00D839F4">
      <w:proofErr w:type="spellStart"/>
      <w:r w:rsidRPr="00D839F4">
        <w:rPr>
          <w:rStyle w:val="Style13ptBold"/>
        </w:rPr>
        <w:t>Parenti</w:t>
      </w:r>
      <w:proofErr w:type="spellEnd"/>
      <w:r w:rsidRPr="00D839F4">
        <w:rPr>
          <w:rStyle w:val="Style13ptBold"/>
        </w:rPr>
        <w:t xml:space="preserve"> 95</w:t>
      </w:r>
      <w:r w:rsidR="00D839F4">
        <w:rPr>
          <w:rStyle w:val="Style13ptBold"/>
        </w:rPr>
        <w:t xml:space="preserve"> </w:t>
      </w:r>
      <w:r w:rsidRPr="00D839F4">
        <w:rPr>
          <w:rStyle w:val="Style13ptBold"/>
          <w:b w:val="0"/>
        </w:rPr>
        <w:t xml:space="preserve">(Michael </w:t>
      </w:r>
      <w:proofErr w:type="spellStart"/>
      <w:r w:rsidRPr="00D839F4">
        <w:rPr>
          <w:rStyle w:val="Style13ptBold"/>
          <w:b w:val="0"/>
        </w:rPr>
        <w:t>Parenti</w:t>
      </w:r>
      <w:proofErr w:type="spellEnd"/>
      <w:r w:rsidRPr="00D839F4">
        <w:rPr>
          <w:rStyle w:val="Style13ptBold"/>
          <w:b w:val="0"/>
        </w:rPr>
        <w:t xml:space="preserve">, Ph.D. from Yale in </w:t>
      </w:r>
      <w:proofErr w:type="spellStart"/>
      <w:r w:rsidRPr="00D839F4">
        <w:rPr>
          <w:rStyle w:val="Style13ptBold"/>
          <w:b w:val="0"/>
        </w:rPr>
        <w:t>poli</w:t>
      </w:r>
      <w:proofErr w:type="spellEnd"/>
      <w:r w:rsidRPr="00D839F4">
        <w:rPr>
          <w:rStyle w:val="Style13ptBold"/>
          <w:b w:val="0"/>
        </w:rPr>
        <w:t xml:space="preserve"> </w:t>
      </w:r>
      <w:proofErr w:type="spellStart"/>
      <w:r w:rsidRPr="00D839F4">
        <w:rPr>
          <w:rStyle w:val="Style13ptBold"/>
          <w:b w:val="0"/>
        </w:rPr>
        <w:t>sci</w:t>
      </w:r>
      <w:proofErr w:type="spellEnd"/>
      <w:r w:rsidRPr="00D839F4">
        <w:rPr>
          <w:rStyle w:val="Style13ptBold"/>
          <w:b w:val="0"/>
        </w:rPr>
        <w:t xml:space="preserve">, prolific author and activist. </w:t>
      </w:r>
      <w:proofErr w:type="gramStart"/>
      <w:r w:rsidRPr="00D839F4">
        <w:rPr>
          <w:rStyle w:val="Style13ptBold"/>
          <w:b w:val="0"/>
        </w:rPr>
        <w:t>From the book “Against Empire”.</w:t>
      </w:r>
      <w:proofErr w:type="gramEnd"/>
      <w:r w:rsidRPr="00D839F4">
        <w:rPr>
          <w:rStyle w:val="Style13ptBold"/>
          <w:b w:val="0"/>
        </w:rPr>
        <w:t xml:space="preserve"> This card is from chapter 11, PP. 197-210. </w:t>
      </w:r>
      <w:proofErr w:type="spellStart"/>
      <w:r w:rsidRPr="00D839F4">
        <w:rPr>
          <w:rStyle w:val="Style13ptBold"/>
          <w:b w:val="0"/>
        </w:rPr>
        <w:t>OCRed</w:t>
      </w:r>
      <w:proofErr w:type="spellEnd"/>
      <w:r w:rsidRPr="00D839F4">
        <w:rPr>
          <w:rStyle w:val="Style13ptBold"/>
          <w:b w:val="0"/>
        </w:rPr>
        <w:t xml:space="preserve"> from the original, minor textual errors may exist.)</w:t>
      </w:r>
    </w:p>
    <w:p w14:paraId="2799C5FC" w14:textId="77777777" w:rsidR="002B4247" w:rsidRPr="00D839F4" w:rsidRDefault="002B4247" w:rsidP="00D839F4">
      <w:r w:rsidRPr="00D839F4">
        <w:t>The "global economy" is another name for imperialism, and imperialism is a transnational form of capitalism. The essence of capitalism is to turn nature into commodities and commodities into capital. The live green earth is transformed into dead, gold bricks, with luxury items for the few and toxic slag heaps for the many. The glittering mansion overlooks a vast sprawl of shanty towns, wherein a desperate, demoralized humanity is kept in line with drugs, television, and armed force. But every empire, triumphant in that heartless way, plants the seeds of its own destruction. The more successful its ruling class in devouring the wealth and resources of this and other lands, the more it undermines the base upon which it depends. Like some mythological beast that devours itself, the empire devours the republic, its human labor, and its natural environment. Alas, in this epoch, the self-</w:t>
      </w:r>
      <w:proofErr w:type="spellStart"/>
      <w:r w:rsidRPr="00D839F4">
        <w:t>ravagement</w:t>
      </w:r>
      <w:proofErr w:type="spellEnd"/>
      <w:r w:rsidRPr="00D839F4">
        <w:t xml:space="preserve"> is of such a magnitude that when the collapse comes, it may take down the entire ecosphere and all of us with it. The history of imperialism is a history of unspeakable atrocities, mass slaughters, horrors, deceits, treacheries, and merciless </w:t>
      </w:r>
      <w:proofErr w:type="spellStart"/>
      <w:r w:rsidRPr="00D839F4">
        <w:t>oppres</w:t>
      </w:r>
      <w:proofErr w:type="spellEnd"/>
      <w:r w:rsidRPr="00D839F4">
        <w:t xml:space="preserve">- </w:t>
      </w:r>
      <w:proofErr w:type="spellStart"/>
      <w:proofErr w:type="gramStart"/>
      <w:r w:rsidRPr="00D839F4">
        <w:t>sion</w:t>
      </w:r>
      <w:proofErr w:type="spellEnd"/>
      <w:proofErr w:type="gramEnd"/>
      <w:r w:rsidRPr="00D839F4">
        <w:t>. It is enough to make one give up hope for the human race, both for its victims and victimizers. Today, the purveyors of capitalism ring the welkin with victorious pronouncements</w:t>
      </w:r>
      <w:r w:rsidRPr="00D839F4">
        <w:tab/>
        <w:t xml:space="preserve">about a New World Order. Some of their faithful ideologues pontificate about "the end of history," concluding that the age-old struggle between haves and have-nots is being replaced by a </w:t>
      </w:r>
      <w:proofErr w:type="spellStart"/>
      <w:r w:rsidRPr="00D839F4">
        <w:t>monocentric</w:t>
      </w:r>
      <w:proofErr w:type="spellEnd"/>
      <w:r w:rsidRPr="00D839F4">
        <w:t xml:space="preserve">, consensual, economic globalization. </w:t>
      </w:r>
    </w:p>
    <w:p w14:paraId="514D252B" w14:textId="77777777" w:rsidR="002B4247" w:rsidRPr="00D839F4" w:rsidRDefault="002B4247" w:rsidP="00D839F4">
      <w:pPr>
        <w:pStyle w:val="Heading4"/>
      </w:pPr>
      <w:r w:rsidRPr="00D839F4">
        <w:t>Mexican Officials Harming Women</w:t>
      </w:r>
    </w:p>
    <w:p w14:paraId="1797CD8C" w14:textId="77777777" w:rsidR="002B4247" w:rsidRPr="00D839F4" w:rsidRDefault="002B4247" w:rsidP="00D839F4">
      <w:pPr>
        <w:rPr>
          <w:rStyle w:val="Style13ptBold"/>
        </w:rPr>
      </w:pPr>
      <w:r w:rsidRPr="00D839F4">
        <w:rPr>
          <w:rStyle w:val="Style13ptBold"/>
        </w:rPr>
        <w:t>Wright 2012</w:t>
      </w:r>
      <w:r w:rsidRPr="00D839F4">
        <w:rPr>
          <w:rStyle w:val="Style13ptBold"/>
          <w:b w:val="0"/>
        </w:rPr>
        <w:t xml:space="preserve">, (Jessica, counterterrorism analyst </w:t>
      </w:r>
      <w:proofErr w:type="spellStart"/>
      <w:r w:rsidRPr="00D839F4">
        <w:rPr>
          <w:rStyle w:val="Style13ptBold"/>
          <w:b w:val="0"/>
        </w:rPr>
        <w:t>DoD</w:t>
      </w:r>
      <w:proofErr w:type="spellEnd"/>
      <w:r w:rsidRPr="00D839F4">
        <w:rPr>
          <w:rStyle w:val="Style13ptBold"/>
          <w:b w:val="0"/>
        </w:rPr>
        <w:t>, Women Under Siege, Women’s Media Center, (December, 7, 2012)</w:t>
      </w:r>
    </w:p>
    <w:p w14:paraId="35B52F0E" w14:textId="77777777" w:rsidR="002B4247" w:rsidRPr="00D839F4" w:rsidRDefault="002B4247" w:rsidP="00D839F4">
      <w:r w:rsidRPr="00D839F4">
        <w:t xml:space="preserve">A silent, gendered war is also being waged against women throughout the country. Women are being raped, strangled, and tortured, their bodies mutilated and discarded in desolate locations, sending a message to Mexican society: Women’s lives are expendable. Their predators will not be punished. Professor </w:t>
      </w:r>
      <w:hyperlink r:id="rId14" w:history="1">
        <w:r w:rsidRPr="00D839F4">
          <w:rPr>
            <w:rStyle w:val="Hyperlink"/>
          </w:rPr>
          <w:t xml:space="preserve">Rosa-Linda </w:t>
        </w:r>
        <w:proofErr w:type="spellStart"/>
        <w:r w:rsidRPr="00D839F4">
          <w:rPr>
            <w:rStyle w:val="Hyperlink"/>
          </w:rPr>
          <w:t>Fregoso</w:t>
        </w:r>
        <w:proofErr w:type="spellEnd"/>
      </w:hyperlink>
      <w:r w:rsidRPr="00D839F4">
        <w:t xml:space="preserve"> of the Latin American &amp; Latino Studies Department at University of California, Santa Cruz, explained to WMC’s Women Under Siege: “There is a common, grave mentality that wants to lump all the violence within the war on drugs and not to differentiate. Both kinds of violence are interrelated; violence against women flourishes and proliferates in societies where force and violence are seen as a legitimate response to conflict.” </w:t>
      </w:r>
      <w:proofErr w:type="spellStart"/>
      <w:r w:rsidRPr="00D839F4">
        <w:t>Marusia</w:t>
      </w:r>
      <w:proofErr w:type="spellEnd"/>
      <w:r w:rsidRPr="00D839F4">
        <w:t xml:space="preserve"> Lopez Cruz, the Mesoamerica Regional Coordinator of the international women’s rights organization, </w:t>
      </w:r>
      <w:hyperlink r:id="rId15" w:history="1">
        <w:r w:rsidRPr="00D839F4">
          <w:rPr>
            <w:rStyle w:val="Hyperlink"/>
          </w:rPr>
          <w:t>JASS (Just Associates)</w:t>
        </w:r>
      </w:hyperlink>
      <w:r w:rsidRPr="00D839F4">
        <w:t xml:space="preserve">, told us that one Mexican woman is raped every four minutes—amounting to 120,000 rapes per year. Gender-based violence in Mexico is closely associated with Ciudad </w:t>
      </w:r>
      <w:proofErr w:type="spellStart"/>
      <w:r w:rsidRPr="00D839F4">
        <w:t>Juárez</w:t>
      </w:r>
      <w:proofErr w:type="spellEnd"/>
      <w:r w:rsidRPr="00D839F4">
        <w:t xml:space="preserve">, a border town on the Rio Grande River facing El Paso, Texas, shortly following the passage of the North American Trade Agreement (NAFTA) in 1994. Trade barriers had been lowered, factories sprung up, and many rural Mexicans who formerly farmed for a living—including a significant number of women—were forced to migrate to </w:t>
      </w:r>
      <w:r w:rsidRPr="00D839F4">
        <w:lastRenderedPageBreak/>
        <w:t>border cities in search of work.</w:t>
      </w:r>
      <w:r w:rsidR="00D839F4">
        <w:t xml:space="preserve"> </w:t>
      </w:r>
      <w:r w:rsidRPr="00D839F4">
        <w:t xml:space="preserve">To exert power: A </w:t>
      </w:r>
      <w:hyperlink r:id="rId16" w:history="1">
        <w:r w:rsidRPr="00D839F4">
          <w:rPr>
            <w:rStyle w:val="Hyperlink"/>
          </w:rPr>
          <w:t>2012 report</w:t>
        </w:r>
      </w:hyperlink>
      <w:r w:rsidRPr="00D839F4">
        <w:t xml:space="preserve"> analyzing the effects of violence on women in Mexico, co-produced by the </w:t>
      </w:r>
      <w:hyperlink r:id="rId17" w:history="1">
        <w:r w:rsidRPr="00D839F4">
          <w:rPr>
            <w:rStyle w:val="Hyperlink"/>
          </w:rPr>
          <w:t>Nobel Women’s Initiative</w:t>
        </w:r>
      </w:hyperlink>
      <w:r w:rsidRPr="00D839F4">
        <w:t xml:space="preserve"> and JASS, found that government officials and their security forces were often the worst perpetrators of sexualized violence and used it as a tool to “intimidate and subdue” women. The 45,000 troops deployed by President Felipe </w:t>
      </w:r>
      <w:proofErr w:type="spellStart"/>
      <w:r w:rsidRPr="00D839F4">
        <w:t>Calderón</w:t>
      </w:r>
      <w:proofErr w:type="spellEnd"/>
      <w:r w:rsidRPr="00D839F4">
        <w:t xml:space="preserve"> Hinojosa in 2007 to fight drug cartels contributed to a growing culture of violence and fear, especially for women, youth, indigenous communities, and migrants who are vulnerable in the face of the corrupt and often misogynist security institutions. Francisco González, a professor of Latin American Studies at Johns Hopkins University’s School of Advanced International Studies in Washington, argues in a 2011 </w:t>
      </w:r>
      <w:hyperlink r:id="rId18" w:history="1">
        <w:r w:rsidRPr="00D839F4">
          <w:rPr>
            <w:rStyle w:val="Hyperlink"/>
          </w:rPr>
          <w:t>Current History article</w:t>
        </w:r>
      </w:hyperlink>
      <w:r w:rsidRPr="00D839F4">
        <w:t>: “It is not far-fetched to say that the average Mexican citizen lives in fear of both criminals and public authorities.</w:t>
      </w:r>
    </w:p>
    <w:p w14:paraId="02DAF299" w14:textId="77777777" w:rsidR="002B4247" w:rsidRPr="00D839F4" w:rsidRDefault="002B4247" w:rsidP="00D839F4">
      <w:pPr>
        <w:pStyle w:val="Heading4"/>
      </w:pPr>
      <w:r w:rsidRPr="00D839F4">
        <w:t>Dehumanization is the Worst Impact</w:t>
      </w:r>
    </w:p>
    <w:p w14:paraId="24998823" w14:textId="77777777" w:rsidR="002B4247" w:rsidRPr="00D839F4" w:rsidRDefault="002B4247" w:rsidP="00D839F4">
      <w:pPr>
        <w:rPr>
          <w:rStyle w:val="Style13ptBold"/>
        </w:rPr>
      </w:pPr>
      <w:proofErr w:type="spellStart"/>
      <w:r w:rsidRPr="00D839F4">
        <w:rPr>
          <w:rStyle w:val="Style13ptBold"/>
        </w:rPr>
        <w:t>Berube</w:t>
      </w:r>
      <w:proofErr w:type="spellEnd"/>
      <w:r w:rsidR="00D839F4">
        <w:rPr>
          <w:rStyle w:val="Style13ptBold"/>
        </w:rPr>
        <w:t>, 1997</w:t>
      </w:r>
      <w:r w:rsidRPr="00D839F4">
        <w:rPr>
          <w:rStyle w:val="Style13ptBold"/>
        </w:rPr>
        <w:t xml:space="preserve"> </w:t>
      </w:r>
      <w:r w:rsidRPr="00D839F4">
        <w:rPr>
          <w:rStyle w:val="Style13ptBold"/>
          <w:b w:val="0"/>
        </w:rPr>
        <w:t>(Professor of Communication at South Carolina) 97 (David, Ph.D. in Communications, “</w:t>
      </w:r>
      <w:proofErr w:type="spellStart"/>
      <w:r w:rsidRPr="00D839F4">
        <w:rPr>
          <w:rStyle w:val="Style13ptBold"/>
          <w:b w:val="0"/>
        </w:rPr>
        <w:t>Nanotechnological</w:t>
      </w:r>
      <w:proofErr w:type="spellEnd"/>
      <w:r w:rsidRPr="00D839F4">
        <w:rPr>
          <w:rStyle w:val="Style13ptBold"/>
          <w:b w:val="0"/>
        </w:rPr>
        <w:t xml:space="preserve"> </w:t>
      </w:r>
      <w:proofErr w:type="spellStart"/>
      <w:r w:rsidRPr="00D839F4">
        <w:rPr>
          <w:rStyle w:val="Style13ptBold"/>
          <w:b w:val="0"/>
        </w:rPr>
        <w:t>Prolongevity</w:t>
      </w:r>
      <w:proofErr w:type="spellEnd"/>
      <w:r w:rsidRPr="00D839F4">
        <w:rPr>
          <w:rStyle w:val="Style13ptBold"/>
          <w:b w:val="0"/>
        </w:rPr>
        <w:t xml:space="preserve">: The Down Side”, </w:t>
      </w:r>
      <w:proofErr w:type="spellStart"/>
      <w:r w:rsidRPr="00D839F4">
        <w:rPr>
          <w:rStyle w:val="Style13ptBold"/>
          <w:b w:val="0"/>
        </w:rPr>
        <w:t>NanoTechnology</w:t>
      </w:r>
      <w:proofErr w:type="spellEnd"/>
      <w:r w:rsidRPr="00D839F4">
        <w:rPr>
          <w:rStyle w:val="Style13ptBold"/>
          <w:b w:val="0"/>
        </w:rPr>
        <w:t xml:space="preserve"> Magazine, June/July 1997, p. 1-6, URL: http://www.cla.sc.edu/ENGL/faculty/berube/prolong.htm) (PDCL1393) </w:t>
      </w:r>
    </w:p>
    <w:p w14:paraId="3108752B" w14:textId="77777777" w:rsidR="002B4247" w:rsidRPr="00D839F4" w:rsidRDefault="002B4247" w:rsidP="00D839F4">
      <w:r w:rsidRPr="00D839F4">
        <w:t xml:space="preserve">This means-ends dispute is at the core of Montagu and Matson's treatise on the dehumanization of humanity. They warn: "its destructive toll is already greater than that of any war, plague, famine, or natural calamity on record -- and its potential danger to the quality of life and the fabric of civilized society is beyond calculation. For that reason this sickness of the soul might well be called the Fifth Horseman of the Apocalypse.... Behind the genocide of the holocaust lay a dehumanized thought; beneath the </w:t>
      </w:r>
      <w:proofErr w:type="spellStart"/>
      <w:r w:rsidRPr="00D839F4">
        <w:t>menticide</w:t>
      </w:r>
      <w:proofErr w:type="spellEnd"/>
      <w:r w:rsidRPr="00D839F4">
        <w:t xml:space="preserve"> of deviants and dissidents... in the cuckoo's nest of America, lies a dehumanized image of man... </w:t>
      </w:r>
      <w:proofErr w:type="gramStart"/>
      <w:r w:rsidRPr="00D839F4">
        <w:t>(Montagu &amp; Matson, 1983, p. xi-xii).</w:t>
      </w:r>
      <w:proofErr w:type="gramEnd"/>
      <w:r w:rsidRPr="00D839F4">
        <w:t xml:space="preserve"> While it may never be possible to quantify the impact dehumanizing ethics may have had on humanity, it is safe to conclude the foundations of humanness offer great opportunities which would be foregone. When we calculate the actual losses and the virtual benefits, we approach a nearly inestimable value greater than any tools which we can currently use to measure it. 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p>
    <w:p w14:paraId="2C83C3EB" w14:textId="77777777" w:rsidR="004304E2" w:rsidRPr="00D839F4" w:rsidRDefault="004304E2" w:rsidP="00D839F4">
      <w:pPr>
        <w:pStyle w:val="Heading1"/>
      </w:pPr>
      <w:bookmarkStart w:id="6" w:name="_Toc271701367"/>
      <w:r w:rsidRPr="00D839F4">
        <w:lastRenderedPageBreak/>
        <w:t>Affirmative Cards</w:t>
      </w:r>
      <w:bookmarkEnd w:id="6"/>
    </w:p>
    <w:p w14:paraId="55FFEB48" w14:textId="77777777" w:rsidR="002B4247" w:rsidRPr="00D839F4" w:rsidRDefault="002B4247" w:rsidP="00D839F4">
      <w:pPr>
        <w:pStyle w:val="Heading3"/>
      </w:pPr>
      <w:bookmarkStart w:id="7" w:name="_Toc271701368"/>
      <w:r w:rsidRPr="00D839F4">
        <w:lastRenderedPageBreak/>
        <w:t>Doesn’t Hurt Women’s Rights</w:t>
      </w:r>
      <w:bookmarkEnd w:id="7"/>
    </w:p>
    <w:p w14:paraId="55F20BFC" w14:textId="77777777" w:rsidR="002B4247" w:rsidRPr="00D839F4" w:rsidRDefault="002B4247" w:rsidP="00D839F4">
      <w:pPr>
        <w:pStyle w:val="Heading4"/>
      </w:pPr>
      <w:r w:rsidRPr="00D839F4">
        <w:t xml:space="preserve">Coercion is Moral </w:t>
      </w:r>
    </w:p>
    <w:p w14:paraId="41C2B2CA" w14:textId="77777777" w:rsidR="002B4247" w:rsidRPr="00D839F4" w:rsidRDefault="002B4247" w:rsidP="00D839F4">
      <w:pPr>
        <w:rPr>
          <w:rStyle w:val="Style13ptBold"/>
        </w:rPr>
      </w:pPr>
      <w:proofErr w:type="spellStart"/>
      <w:r w:rsidRPr="00D839F4">
        <w:rPr>
          <w:rStyle w:val="Style13ptBold"/>
        </w:rPr>
        <w:t>Ripstein</w:t>
      </w:r>
      <w:proofErr w:type="spellEnd"/>
      <w:r w:rsidRPr="00D839F4">
        <w:rPr>
          <w:rStyle w:val="Style13ptBold"/>
        </w:rPr>
        <w:t>, 2009 (Arthur, Professor of Law and Philosophy at Toronto, Force and Freedom, pg. 55)</w:t>
      </w:r>
    </w:p>
    <w:p w14:paraId="6551CCF7" w14:textId="77777777" w:rsidR="002B4247" w:rsidRPr="00D839F4" w:rsidRDefault="002B4247" w:rsidP="00D839F4">
      <w:r w:rsidRPr="00D839F4">
        <w:t>“An act is coercive if it subjects one person to the choice of another. One person can be subjected to the choice of another either directly, through acts, or indirectly, through threats of such acts. Kidnapping, for example, typically includes a threat addressed to the victim’s family or business associates, but the wrong of kidnapping is constraining-coercing-another person, quite apart from the further wrong of extortion, that is, using the kidnapping to shape the conduct of third parties through threats… Coercion is objectionable where it is a hindrance to a person’s right to freedom, but legitimate when it takes the form of hindering a hindrance to freedom. To stop you from interfering with another person upholds the other’s freedom. Using force to get the victim out of the kidnapper’s clutches involves coercion against the kidnapper, because it touches or threatens to touch him in order to advance a purpose, the freeing of the victim, to which he has not agreed. The use of force is rightful because an incident of the victim’s antecedent to be free. The kidnapper hinders the victim’s freedom; forcibly freeing the victim hinders that hindrance, and in doing so upholds the victims freedom.”</w:t>
      </w:r>
    </w:p>
    <w:p w14:paraId="0E311AEA" w14:textId="77777777" w:rsidR="002B4247" w:rsidRPr="00D839F4" w:rsidRDefault="002B4247" w:rsidP="00D839F4">
      <w:pPr>
        <w:pStyle w:val="Heading3"/>
      </w:pPr>
      <w:bookmarkStart w:id="8" w:name="_Toc271701369"/>
      <w:r w:rsidRPr="00D839F4">
        <w:lastRenderedPageBreak/>
        <w:t>Hurts Women’s Rights</w:t>
      </w:r>
      <w:bookmarkEnd w:id="8"/>
    </w:p>
    <w:p w14:paraId="0CE24E2A" w14:textId="77777777" w:rsidR="002B4247" w:rsidRPr="00D839F4" w:rsidRDefault="002B4247" w:rsidP="00D839F4">
      <w:pPr>
        <w:pStyle w:val="Heading4"/>
      </w:pPr>
      <w:r w:rsidRPr="00D839F4">
        <w:t>Valuing Economic Interests over women’s rights hurts all human’s rights:</w:t>
      </w:r>
    </w:p>
    <w:p w14:paraId="60DD5BDA" w14:textId="77777777" w:rsidR="002B4247" w:rsidRPr="00D839F4" w:rsidRDefault="002B4247" w:rsidP="00D839F4">
      <w:pPr>
        <w:rPr>
          <w:rStyle w:val="Style13ptBold"/>
        </w:rPr>
      </w:pPr>
      <w:r w:rsidRPr="00D839F4">
        <w:rPr>
          <w:rStyle w:val="Style13ptBold"/>
        </w:rPr>
        <w:t>Donald M. Seekins</w:t>
      </w:r>
      <w:proofErr w:type="gramStart"/>
      <w:r w:rsidRPr="00D839F4">
        <w:rPr>
          <w:rStyle w:val="Style13ptBold"/>
        </w:rPr>
        <w:t>,2005</w:t>
      </w:r>
      <w:proofErr w:type="gramEnd"/>
      <w:r w:rsidRPr="00D839F4">
        <w:rPr>
          <w:rStyle w:val="Style13ptBold"/>
        </w:rPr>
        <w:t xml:space="preserve"> </w:t>
      </w:r>
      <w:r w:rsidRPr="00D839F4">
        <w:rPr>
          <w:rStyle w:val="Style13ptBold"/>
          <w:b w:val="0"/>
        </w:rPr>
        <w:t>(author of disorder in order, Source: Asian Survey, Vol. 45, No. 3 (May/June 2005), pp. 437-452,Published by: University of California Press, Burma and U.S. Sanctions: Punishing an Authoritarian Regime):</w:t>
      </w:r>
    </w:p>
    <w:p w14:paraId="271995AF" w14:textId="77777777" w:rsidR="002B4247" w:rsidRPr="00D839F4" w:rsidRDefault="002B4247" w:rsidP="00D839F4">
      <w:r w:rsidRPr="00D839F4">
        <w:t>The purpose of Washington’s Burma sanctions is twofold: to express disapproval of the regime’s objectionable behavior, giving moral support to the democratic opposition (sanctions as symbolic expression); and to force the regime, through negative reinforcements, to change that behavior (sanctions as behavior modification). As a symbolic gesture, the Burmese Freedom and Democracy Act was effective insofar as it helped focus international attention on Burma, at least during summer and fall 2003. It is the “behavior modification” dimension that needs to be examined more closely. Advocates of tough Burma sanctions believe that if enough pain is inflicted, the regime will make the desired concessions.</w:t>
      </w:r>
      <w:r w:rsidR="00D839F4">
        <w:t xml:space="preserve"> </w:t>
      </w:r>
      <w:r w:rsidRPr="00D839F4">
        <w:t xml:space="preserve">On the evening of May 30, 2003, </w:t>
      </w:r>
      <w:proofErr w:type="spellStart"/>
      <w:r w:rsidRPr="00D839F4">
        <w:t>Daw</w:t>
      </w:r>
      <w:proofErr w:type="spellEnd"/>
      <w:r w:rsidRPr="00D839F4">
        <w:t xml:space="preserve"> Aung San Suu Kyi and members of her National League for Democracy (NLD), returning from a visit to </w:t>
      </w:r>
      <w:proofErr w:type="spellStart"/>
      <w:r w:rsidRPr="00D839F4">
        <w:t>Kachin</w:t>
      </w:r>
      <w:proofErr w:type="spellEnd"/>
      <w:r w:rsidRPr="00D839F4">
        <w:t xml:space="preserve"> State, were attacked by a large gang of men armed with bamboo staves, iron pipes, and slingshots. The incident occurred near the town of </w:t>
      </w:r>
      <w:proofErr w:type="spellStart"/>
      <w:r w:rsidRPr="00D839F4">
        <w:t>Depayin</w:t>
      </w:r>
      <w:proofErr w:type="spellEnd"/>
      <w:r w:rsidRPr="00D839F4">
        <w:t xml:space="preserve"> (</w:t>
      </w:r>
      <w:proofErr w:type="spellStart"/>
      <w:r w:rsidRPr="00D839F4">
        <w:t>Tabayin</w:t>
      </w:r>
      <w:proofErr w:type="spellEnd"/>
      <w:r w:rsidRPr="00D839F4">
        <w:t xml:space="preserve">) in </w:t>
      </w:r>
      <w:proofErr w:type="spellStart"/>
      <w:r w:rsidRPr="00D839F4">
        <w:t>Sagaing</w:t>
      </w:r>
      <w:proofErr w:type="spellEnd"/>
      <w:r w:rsidRPr="00D839F4">
        <w:t xml:space="preserve"> Division, northwest of Mandalay. The attackers were members of a pro-military-regime group, the Union Solidarity and Development Association (USDA). 1 According to the State Peace and Development Council (SPDC, the military junta that has run Burma since 1988, known before 1997 as the State Law and Order Restoration Council, SLORC), four people died in the violence and 50 were wounded. But other sources, based on eyewitness reports, claim that the actual number was much higher, as many as 70 or 80 killed.</w:t>
      </w:r>
    </w:p>
    <w:p w14:paraId="1B902C19" w14:textId="77777777" w:rsidR="002B4247" w:rsidRPr="00D839F4" w:rsidRDefault="002B4247" w:rsidP="00D839F4">
      <w:pPr>
        <w:pStyle w:val="Heading3"/>
      </w:pPr>
      <w:bookmarkStart w:id="9" w:name="_Toc271701370"/>
      <w:r w:rsidRPr="00D839F4">
        <w:lastRenderedPageBreak/>
        <w:t>United States Pledged to Stop Women’s Rights Abuses Globally</w:t>
      </w:r>
      <w:bookmarkEnd w:id="9"/>
    </w:p>
    <w:p w14:paraId="04F8868A" w14:textId="77777777" w:rsidR="00D839F4" w:rsidRDefault="002B4247" w:rsidP="00D839F4">
      <w:pPr>
        <w:pStyle w:val="Heading4"/>
      </w:pPr>
      <w:proofErr w:type="gramStart"/>
      <w:r w:rsidRPr="00D839F4">
        <w:t>Preventing and responding to Violence Against Women and Girls Globally.</w:t>
      </w:r>
      <w:proofErr w:type="gramEnd"/>
      <w:r w:rsidRPr="00D839F4">
        <w:t xml:space="preserve"> </w:t>
      </w:r>
    </w:p>
    <w:p w14:paraId="4D4E0C3C" w14:textId="77777777" w:rsidR="002B4247" w:rsidRPr="00D839F4" w:rsidRDefault="002B4247" w:rsidP="00D839F4">
      <w:pPr>
        <w:rPr>
          <w:rStyle w:val="Style13ptBold"/>
        </w:rPr>
      </w:pPr>
      <w:r w:rsidRPr="00D839F4">
        <w:rPr>
          <w:rStyle w:val="Style13ptBold"/>
        </w:rPr>
        <w:t>Executive Order August 10, 2012</w:t>
      </w:r>
    </w:p>
    <w:p w14:paraId="46384B2A" w14:textId="77777777" w:rsidR="002B4247" w:rsidRPr="00D839F4" w:rsidRDefault="002B4247" w:rsidP="00D839F4">
      <w:r w:rsidRPr="00D839F4">
        <w:t>By the authority vested in me as President by the Constitution and the laws of the United States of America, it is hereby ordered as follows:</w:t>
      </w:r>
      <w:r w:rsidR="00D839F4">
        <w:t xml:space="preserve"> </w:t>
      </w:r>
      <w:r w:rsidRPr="00D839F4">
        <w:t>Section 1. Policy.</w:t>
      </w:r>
      <w:r w:rsidR="00D839F4">
        <w:t xml:space="preserve"> </w:t>
      </w:r>
      <w:r w:rsidRPr="00D839F4">
        <w:t>(A)Recognizing that gender-based violence undermines not only the safety, dignity, and human rights of the millions of individuals who experience it, but also the public health, economic stability, and security of nations, it is the policy and practice of the executive branch of the United States Government to have a multi-year strategy that will more effectively prevent and respond to gender-based violence globally.</w:t>
      </w:r>
      <w:r w:rsidR="00D839F4">
        <w:t xml:space="preserve"> </w:t>
      </w:r>
      <w:r w:rsidRPr="00D839F4">
        <w:t>(B) Under the leadership of my Administration, the United States has made gender equality and women's empowerment a core focus of our foreign policy. This focus is reflected in our National Security Strategy, the Presidential Policy Directive on Global Development, and the 2010 U.S. Quadrennial Diplomacy and Development Review. Evidence demonstrates that women's empowerment is critical to building stable, democratic societies; to supporting open and accountable governance; to furthering international peace and security; to growing vibrant market economies; and to addressing pressing health and education challenges.</w:t>
      </w:r>
      <w:r w:rsidR="00D839F4">
        <w:t xml:space="preserve"> </w:t>
      </w:r>
      <w:r w:rsidRPr="00D839F4">
        <w:t>(c) Preventing and responding to gender-based violence is a cornerstone of my Administration's commitment to advance gender equality and women's empowerment. Such violence significantly hinders the ability of individuals to fully participate in, and contribute to, their communities -- economically, politically, and socially. It is a human rights violation or abuse; a public health challenge; and a barrier to civic, social, political, and economic participation. It is associated with adverse health outcomes, limited access to education, increased costs relating to medical and legal services, lost household productivity, and reduced income, and there is evidence it is exacerbated in times of crisis, such as emergencies, natural disasters, and violent conflicts.</w:t>
      </w:r>
      <w:r w:rsidR="00D839F4">
        <w:t xml:space="preserve"> </w:t>
      </w:r>
      <w:r w:rsidRPr="00D839F4">
        <w:t>(d) The executive branch multi-year strategy for preventing and responding to gender-based violence is set forth in the United States Strategy to Prevent and Respond to Gender-based Violence Globally (Strategy). The Strategy both responds to and expands upon the request in section 7061 of House conference report 112-331 accompanying the Department of State, Foreign Operations, and Related Programs Appropriations Act, 2012</w:t>
      </w:r>
    </w:p>
    <w:p w14:paraId="78A85D46" w14:textId="77777777" w:rsidR="002B4247" w:rsidRPr="00D839F4" w:rsidRDefault="002B4247" w:rsidP="00D839F4">
      <w:pPr>
        <w:pStyle w:val="Heading4"/>
      </w:pPr>
      <w:r w:rsidRPr="00D839F4">
        <w:t>Genital Mutilation is Unacceptable</w:t>
      </w:r>
    </w:p>
    <w:p w14:paraId="6E0F5085" w14:textId="77777777" w:rsidR="002B4247" w:rsidRPr="00D839F4" w:rsidRDefault="002B4247" w:rsidP="00D839F4">
      <w:pPr>
        <w:rPr>
          <w:rStyle w:val="Style13ptBold"/>
        </w:rPr>
      </w:pPr>
      <w:proofErr w:type="spellStart"/>
      <w:r w:rsidRPr="00D839F4">
        <w:rPr>
          <w:rStyle w:val="Style13ptBold"/>
        </w:rPr>
        <w:t>Dorkeeno</w:t>
      </w:r>
      <w:proofErr w:type="spellEnd"/>
      <w:r w:rsidRPr="00D839F4">
        <w:rPr>
          <w:rStyle w:val="Style13ptBold"/>
        </w:rPr>
        <w:t xml:space="preserve"> 2006, </w:t>
      </w:r>
      <w:r w:rsidRPr="00D839F4">
        <w:rPr>
          <w:rStyle w:val="Style13ptBold"/>
          <w:b w:val="0"/>
        </w:rPr>
        <w:t>(</w:t>
      </w:r>
      <w:proofErr w:type="spellStart"/>
      <w:r w:rsidRPr="00D839F4">
        <w:rPr>
          <w:rStyle w:val="Style13ptBold"/>
          <w:b w:val="0"/>
        </w:rPr>
        <w:t>Efua</w:t>
      </w:r>
      <w:proofErr w:type="spellEnd"/>
      <w:r w:rsidRPr="00D839F4">
        <w:rPr>
          <w:rStyle w:val="Style13ptBold"/>
          <w:b w:val="0"/>
        </w:rPr>
        <w:t xml:space="preserve"> </w:t>
      </w:r>
      <w:proofErr w:type="spellStart"/>
      <w:r w:rsidRPr="00D839F4">
        <w:rPr>
          <w:rStyle w:val="Style13ptBold"/>
          <w:b w:val="0"/>
        </w:rPr>
        <w:t>Ghanian</w:t>
      </w:r>
      <w:proofErr w:type="spellEnd"/>
      <w:r w:rsidRPr="00D839F4">
        <w:rPr>
          <w:rStyle w:val="Style13ptBold"/>
          <w:b w:val="0"/>
        </w:rPr>
        <w:t xml:space="preserve"> Women’s Rights activist, Female Genital Mutilation pg. 397 published 2006)</w:t>
      </w:r>
    </w:p>
    <w:p w14:paraId="5C90F587" w14:textId="77777777" w:rsidR="002B4247" w:rsidRPr="00D839F4" w:rsidRDefault="002B4247" w:rsidP="00D839F4">
      <w:r w:rsidRPr="00D839F4">
        <w:t>Female genital mutilation is an extreme example of the general subjugation of Women, sufficiently extreme and horrifying to make Women and men question the basis of what is done to women, what women have accepted and why, in the name of society and tradition.</w:t>
      </w:r>
      <w:r w:rsidR="00D839F4">
        <w:t xml:space="preserve"> </w:t>
      </w:r>
      <w:r w:rsidRPr="00D839F4">
        <w:t>Health risks and complications depend on the gravity of the mutilation, hygienic conditions, the skill and eyesight of the operator, and the struggles of the child. Whether immediate or long term, they are grave. Death from bleeding is not uncommon, while long-term complications include chronic infections of the uterus and vagina, painful menstruation, severe pain during intercourse,</w:t>
      </w:r>
      <w:r w:rsidR="00D839F4">
        <w:t xml:space="preserve"> </w:t>
      </w:r>
      <w:r w:rsidRPr="00D839F4">
        <w:t>sterility, and complications during childbirth.</w:t>
      </w:r>
      <w:r w:rsidR="00D839F4">
        <w:t xml:space="preserve"> </w:t>
      </w:r>
      <w:r w:rsidRPr="00D839F4">
        <w:t>Many personal accounts and research findings contain repeated references to anxiety prior to the operation, terror and the moment of being seized by an aunt or village matron, unbearable pain, and the subsequent sense of humiliation and of being betrayed by parents.</w:t>
      </w:r>
      <w:r w:rsidR="00D839F4">
        <w:t xml:space="preserve"> </w:t>
      </w:r>
      <w:r w:rsidRPr="00D839F4">
        <w:t xml:space="preserve">An adult is free to submit her or </w:t>
      </w:r>
      <w:r w:rsidRPr="00D839F4">
        <w:lastRenderedPageBreak/>
        <w:t>himself to a ritual or tradition, but a child, having no formed judgment, does not consent but simply undergoes the operation while she is totally vulnerable. The descriptions available of the reactions of children panic and shock from extreme pain, biting through the tongue, convulsions, necessity for six adults to hold down an eight-year-old, and death-indicate a practice comparable to torture.</w:t>
      </w:r>
    </w:p>
    <w:p w14:paraId="40281595" w14:textId="77777777" w:rsidR="002B4247" w:rsidRPr="00D839F4" w:rsidRDefault="002B4247" w:rsidP="00D839F4">
      <w:pPr>
        <w:pStyle w:val="Heading4"/>
      </w:pPr>
      <w:r w:rsidRPr="00D839F4">
        <w:t>Victoria’s Story</w:t>
      </w:r>
    </w:p>
    <w:p w14:paraId="5CD0D14A" w14:textId="77777777" w:rsidR="002B4247" w:rsidRPr="00D839F4" w:rsidRDefault="002B4247" w:rsidP="00D839F4">
      <w:pPr>
        <w:rPr>
          <w:rStyle w:val="Style13ptBold"/>
        </w:rPr>
      </w:pPr>
      <w:r w:rsidRPr="00D839F4">
        <w:rPr>
          <w:rStyle w:val="Style13ptBold"/>
        </w:rPr>
        <w:t>('My Sleep Is My Break' Exploitation Of Migrant Domestic Workers In Qatar. Amnesty International USA. April 23, 2014.)</w:t>
      </w:r>
    </w:p>
    <w:p w14:paraId="51F9EDC1" w14:textId="77777777" w:rsidR="002B4247" w:rsidRPr="00D839F4" w:rsidRDefault="002B4247" w:rsidP="00D839F4">
      <w:r w:rsidRPr="00D839F4">
        <w:t>'Victoria' had not been particularly unhappy with her job until it came to the December holidays. She had arrived in Qatar in August 2012 from her home in the Philippines to work for an expatriate family in their Doha home, cleaning and looking after their children. Her hours were very long, starting at 05:00 every morning and working until about 20:00 in the evening, sometimes later. But, she told Amnesty International, she had a day off work every Friday, and she always got her monthly salary of 1,000 riyals [US$275] a month. However, in December 2012, Victoria's workload increased to extreme levels. Twelve family relatives from Australia came to visit for the month, and she had to work flat-out to serve the house, with virtually no rest and no days off. Four of the group stayed for a further month and a half. When they left, she asked her employers to increase her wages for this period, to reflect the additional work she had done. Their response, according to Victoria, was to make her working conditions worse. For a month, she was not allowed out of the house, had no days off and was not allowed to speak to her friends. Her salary was docked. "Because I answered back I was punished. They removed 100 riyals [US$27.50] from my monthly salary. Now I am only allowed a day-off twice a month. I have said to her, 'if you don't want me, send me back [home].'... I am supposed to have a holiday after I have worked for one year but I don't know if they will let me yet."</w:t>
      </w:r>
    </w:p>
    <w:p w14:paraId="7C22F833" w14:textId="77777777" w:rsidR="002B4247" w:rsidRPr="00D839F4" w:rsidRDefault="002B4247" w:rsidP="00D839F4">
      <w:pPr>
        <w:pStyle w:val="Heading4"/>
      </w:pPr>
      <w:r w:rsidRPr="00D839F4">
        <w:t>Forced Abortions in China</w:t>
      </w:r>
    </w:p>
    <w:p w14:paraId="6498BCBA" w14:textId="77777777" w:rsidR="002B4247" w:rsidRPr="00D839F4" w:rsidRDefault="002B4247" w:rsidP="00D839F4">
      <w:pPr>
        <w:rPr>
          <w:rStyle w:val="Style13ptBold"/>
        </w:rPr>
      </w:pPr>
      <w:r w:rsidRPr="00D839F4">
        <w:rPr>
          <w:rStyle w:val="Style13ptBold"/>
        </w:rPr>
        <w:t xml:space="preserve">Sullivan (2013) </w:t>
      </w:r>
      <w:r w:rsidRPr="00D839F4">
        <w:rPr>
          <w:rStyle w:val="Style13ptBold"/>
          <w:b w:val="0"/>
        </w:rPr>
        <w:t xml:space="preserve">(Nora, Professor of Biology Postdoc: Harvard University Postdoc: Massachusetts Institute of Technology PhD: Harvard Medical School MPhil: Cambridge University BA: Amherst </w:t>
      </w:r>
      <w:proofErr w:type="gramStart"/>
      <w:r w:rsidRPr="00D839F4">
        <w:rPr>
          <w:rStyle w:val="Style13ptBold"/>
          <w:b w:val="0"/>
        </w:rPr>
        <w:t>College ,</w:t>
      </w:r>
      <w:proofErr w:type="gramEnd"/>
      <w:r w:rsidRPr="00D839F4">
        <w:rPr>
          <w:rStyle w:val="Style13ptBold"/>
          <w:b w:val="0"/>
        </w:rPr>
        <w:t xml:space="preserve"> “Forced Abortions in China: The Worst Human Rights Abuse in the World” (10/8/13)</w:t>
      </w:r>
    </w:p>
    <w:p w14:paraId="528D23AE" w14:textId="77777777" w:rsidR="002B4247" w:rsidRPr="00D839F4" w:rsidRDefault="002B4247" w:rsidP="00D839F4">
      <w:r w:rsidRPr="00D839F4">
        <w:t xml:space="preserve">Last week the news broke of yet another forced abortion in China. In an interview with the UK’s Sky News, Liu </w:t>
      </w:r>
      <w:proofErr w:type="spellStart"/>
      <w:r w:rsidRPr="00D839F4">
        <w:t>Xinwen</w:t>
      </w:r>
      <w:proofErr w:type="spellEnd"/>
      <w:r w:rsidRPr="00D839F4">
        <w:t xml:space="preserve"> [A Chinese woman] and her husband Zhou </w:t>
      </w:r>
      <w:proofErr w:type="spellStart"/>
      <w:r w:rsidRPr="00D839F4">
        <w:t>Guoquing</w:t>
      </w:r>
      <w:proofErr w:type="spellEnd"/>
      <w:r w:rsidRPr="00D839F4">
        <w:t xml:space="preserve"> revealed that their home was invaded by 20 officials from the Shandong Family Planning Committee who held down [the husband] Mr. Zhou while his wife was pulled from her bed and taken to a hospital where she was forcibly aborted at six months of pregnancy. These events took place at four in the morning on September 30th [2013]. Ms. Liu was taken to the People’s Hospital of </w:t>
      </w:r>
      <w:proofErr w:type="spellStart"/>
      <w:r w:rsidRPr="00D839F4">
        <w:t>Fangzi</w:t>
      </w:r>
      <w:proofErr w:type="spellEnd"/>
      <w:r w:rsidRPr="00D839F4">
        <w:t xml:space="preserve"> District in Weifang City where she was injected with an abortion-inducing drug. Her husband was not informed of his wife’s whereabouts and was unable to locate her for five hours. By that time, it was too late. The drug had already been administered and Ms. Liu could no longer feel her child moving inside of her. The dead baby was delivered the following day and the body of her fully formed son was tossed in a bucket next to Ms. Liu’s bed. Her husband captured the horrific scene on his camera.</w:t>
      </w:r>
      <w:r w:rsidR="00D839F4">
        <w:t xml:space="preserve"> </w:t>
      </w:r>
      <w:r w:rsidRPr="00D839F4">
        <w:t>Communist China has performed an estimated 336 million abortions over the past four decades as part of its enforced family planning policy</w:t>
      </w:r>
    </w:p>
    <w:p w14:paraId="0B9EAA92" w14:textId="77777777" w:rsidR="002B4247" w:rsidRPr="00D839F4" w:rsidRDefault="002B4247" w:rsidP="00D839F4">
      <w:pPr>
        <w:pStyle w:val="Heading4"/>
      </w:pPr>
      <w:r w:rsidRPr="00D839F4">
        <w:lastRenderedPageBreak/>
        <w:t>China Forced Abortion Consequences</w:t>
      </w:r>
    </w:p>
    <w:p w14:paraId="61026D24" w14:textId="77777777" w:rsidR="002B4247" w:rsidRPr="00D839F4" w:rsidRDefault="002B4247" w:rsidP="00D839F4">
      <w:pPr>
        <w:rPr>
          <w:rStyle w:val="Style13ptBold"/>
        </w:rPr>
      </w:pPr>
      <w:r w:rsidRPr="00D839F4">
        <w:rPr>
          <w:rStyle w:val="Style13ptBold"/>
        </w:rPr>
        <w:t xml:space="preserve">(Tang, 2014) </w:t>
      </w:r>
      <w:proofErr w:type="spellStart"/>
      <w:r w:rsidRPr="00D839F4">
        <w:rPr>
          <w:rStyle w:val="Style13ptBold"/>
          <w:b w:val="0"/>
        </w:rPr>
        <w:t>Didi</w:t>
      </w:r>
      <w:proofErr w:type="spellEnd"/>
      <w:r w:rsidRPr="00D839F4">
        <w:rPr>
          <w:rStyle w:val="Style13ptBold"/>
          <w:b w:val="0"/>
        </w:rPr>
        <w:t xml:space="preserve">, Associated Press journalist “FORCED ABORTIONS HIGHLIGHT ABUSES IN CHINA POLICY” </w:t>
      </w:r>
      <w:proofErr w:type="gramStart"/>
      <w:r w:rsidRPr="00D839F4">
        <w:rPr>
          <w:rStyle w:val="Style13ptBold"/>
          <w:b w:val="0"/>
        </w:rPr>
        <w:t>( Jan</w:t>
      </w:r>
      <w:proofErr w:type="gramEnd"/>
      <w:r w:rsidRPr="00D839F4">
        <w:rPr>
          <w:rStyle w:val="Style13ptBold"/>
          <w:b w:val="0"/>
        </w:rPr>
        <w:t>. 10, 2014)</w:t>
      </w:r>
    </w:p>
    <w:p w14:paraId="3521F092" w14:textId="77777777" w:rsidR="002B4247" w:rsidRPr="00D839F4" w:rsidRDefault="002B4247" w:rsidP="00D839F4">
      <w:r w:rsidRPr="00D839F4">
        <w:t xml:space="preserve"> When her mind is clear, Gong </w:t>
      </w:r>
      <w:proofErr w:type="spellStart"/>
      <w:r w:rsidRPr="00D839F4">
        <w:t>Qifeng</w:t>
      </w:r>
      <w:proofErr w:type="spellEnd"/>
      <w:r w:rsidRPr="00D839F4">
        <w:t xml:space="preserve"> [A Chinese woman] can recall how she begged for mercy. Several people pinned her head, arms, knees and ankles to a hospital bed before driving a syringe of labor-inducing drugs into her stomach. She was seven months pregnant with what would have been her second boy. The drugs caused her to have a stillborn baby after 35 hours of excruciating pain. She was forced to have the abortion by officials in China's southern province of Hunan in the name of complying with national limits on family size. “It was the pain of my lifetime, worse than the pain of delivering a child. You cannot describe it," Gong, 25, said in a recent interview in Beijing. "And it has become a mental pain. I feel like a walking corpse." Since the abortion more than two years ago, Gong [she] has been diagnosed with schizophrenia. She traveled with her husband to the capital to demand help paying for her treatment, but she ended up being hauled away in her pajamas by police, a detention recorded on video by The Associated Press.</w:t>
      </w:r>
      <w:r w:rsidR="00D518BE">
        <w:t xml:space="preserve"> </w:t>
      </w:r>
      <w:r w:rsidRPr="00D839F4">
        <w:t>[China has] performed an estimated 336 million abortions over the past four decades as part of the family planning policy also performed 196 million sterilizations and has inserted 403 million intrauterine devices, “a normal birth control procedure in the west but one that local officials often force on women in China,” reported the Times.</w:t>
      </w:r>
    </w:p>
    <w:p w14:paraId="7216D97E" w14:textId="77777777" w:rsidR="002B4247" w:rsidRPr="00D839F4" w:rsidRDefault="00D518BE" w:rsidP="00D839F4">
      <w:pPr>
        <w:pStyle w:val="Heading3"/>
      </w:pPr>
      <w:bookmarkStart w:id="10" w:name="_Toc271701371"/>
      <w:r>
        <w:lastRenderedPageBreak/>
        <w:t>Women’s Rights Key</w:t>
      </w:r>
      <w:bookmarkEnd w:id="10"/>
    </w:p>
    <w:p w14:paraId="71A2A969" w14:textId="77777777" w:rsidR="004304E2" w:rsidRPr="00D839F4" w:rsidRDefault="004304E2" w:rsidP="00D839F4">
      <w:pPr>
        <w:pStyle w:val="Heading4"/>
      </w:pPr>
      <w:r w:rsidRPr="00D839F4">
        <w:t>Human Rights should be a key aspect of United States Foreign Policy.</w:t>
      </w:r>
    </w:p>
    <w:p w14:paraId="084A1E0E" w14:textId="77777777" w:rsidR="004304E2" w:rsidRPr="00D839F4" w:rsidRDefault="004304E2" w:rsidP="00D839F4">
      <w:pPr>
        <w:rPr>
          <w:rStyle w:val="Style13ptBold"/>
        </w:rPr>
      </w:pPr>
      <w:r w:rsidRPr="00D839F4">
        <w:rPr>
          <w:rStyle w:val="Style13ptBold"/>
        </w:rPr>
        <w:t>Roberta Cohen, University of Bern, 2008</w:t>
      </w:r>
      <w:r w:rsidRPr="00D839F4">
        <w:rPr>
          <w:rStyle w:val="Style13ptBold"/>
          <w:b w:val="0"/>
        </w:rPr>
        <w:t xml:space="preserve">, (“INTEGRATING HUMAN RIGHTS IN US FOREIGN POLICY: THE HISTORY, THE CHALLENGES, AND THE CRITERIA FOR AN EFFECTIVE POLICY” ROBERTA COHEN [NONRESIDENT SENIOR FELLOW, THE BROOKINGS INSTITUTION FOREIGN SERVICE </w:t>
      </w:r>
      <w:proofErr w:type="gramStart"/>
      <w:r w:rsidRPr="00D839F4">
        <w:rPr>
          <w:rStyle w:val="Style13ptBold"/>
          <w:b w:val="0"/>
        </w:rPr>
        <w:t>INSTITUTE[</w:t>
      </w:r>
      <w:proofErr w:type="gramEnd"/>
      <w:r w:rsidRPr="00D839F4">
        <w:rPr>
          <w:rStyle w:val="Style13ptBold"/>
          <w:b w:val="0"/>
        </w:rPr>
        <w:t>, 2008. The Brookings Institution – University of Bern Project on Internal Displacement)</w:t>
      </w:r>
    </w:p>
    <w:p w14:paraId="1E6FAAC6" w14:textId="77777777" w:rsidR="00444E23" w:rsidRPr="00D839F4" w:rsidRDefault="004304E2" w:rsidP="00D839F4">
      <w:r w:rsidRPr="00D839F4">
        <w:t>To conclude, let me leave the audience with this thought: what the United States is known and appreciated for around the world is not just its strong economy and military capability. It is its democratic way of life and commitment to the observance of human rights. Our nation defines itself by the Constitution and Bill of Rights, the ending of slavery and segregation, the promotion of equal rights for women, the struggle to end racial and minority discrimination, and the defense of free speech, press, and civil liberties. In its dealings with foreign governments and countries, it must necessarily reflect this identity. Whether it is well expressed will depend upon the nature and strength of its human rights policy and the dedication and skill of its diplomatic corps in the implementation of this policy.</w:t>
      </w:r>
    </w:p>
    <w:p w14:paraId="3CF71D6F" w14:textId="77777777" w:rsidR="004304E2" w:rsidRPr="00D839F4" w:rsidRDefault="004304E2" w:rsidP="00D839F4">
      <w:pPr>
        <w:pStyle w:val="Heading4"/>
      </w:pPr>
      <w:r w:rsidRPr="00D839F4">
        <w:t xml:space="preserve">Consequences of not placing women’s rights over economic interests are dire. Yet, focus on women empirically leads to US economic development. </w:t>
      </w:r>
    </w:p>
    <w:p w14:paraId="6F310B4E" w14:textId="77777777" w:rsidR="004304E2" w:rsidRPr="00D839F4" w:rsidRDefault="004304E2" w:rsidP="00D839F4">
      <w:pPr>
        <w:rPr>
          <w:rStyle w:val="Style13ptBold"/>
        </w:rPr>
      </w:pPr>
      <w:r w:rsidRPr="00D839F4">
        <w:rPr>
          <w:rStyle w:val="Style13ptBold"/>
        </w:rPr>
        <w:t xml:space="preserve">Garner, 2012 </w:t>
      </w:r>
      <w:r w:rsidRPr="00D839F4">
        <w:rPr>
          <w:rStyle w:val="Style13ptBold"/>
          <w:b w:val="0"/>
        </w:rPr>
        <w:t>(Global Gender Policy in the 1990s: Incorporating the "Vital Voices" of Women associate professor of historical studies at SUNY Empire State College Volume 24, Number 4, Winter 2012 Karen Garner)</w:t>
      </w:r>
      <w:r w:rsidRPr="00D839F4">
        <w:rPr>
          <w:rStyle w:val="Style13ptBold"/>
        </w:rPr>
        <w:t xml:space="preserve"> </w:t>
      </w:r>
    </w:p>
    <w:p w14:paraId="478BA353" w14:textId="77777777" w:rsidR="004304E2" w:rsidRPr="00D839F4" w:rsidRDefault="004304E2" w:rsidP="00D839F4">
      <w:r w:rsidRPr="00D839F4">
        <w:t xml:space="preserve">These security goals could certainly undermine feminist goals. As many scholars and activists have argued, the expansion of the global capitalist economy in [The Soviet Union, Cuba, Korea, Afghanistan, and Vietnam’s]a 1980s-1990s neoliberal framework eroded social welfare programs, privatized many government services, generally reduced government regulations on private business and global trade practices, and disproportionately penalized already-disadvantaged poor women.9 And "democracy" did not necessarily bring about "economic prosperity," "social justice," or "civil society groups that hold values of pluralism, tolerance, and gender equality."10 Yet these Vital Voices conferences are illuminating examples of how global women became targets of new foreign policy initiatives and recipients of resources during the 1990s. These conferences were tied to the U.S. government's specific interest in democracy promotion and capitalist economic </w:t>
      </w:r>
      <w:proofErr w:type="spellStart"/>
      <w:r w:rsidRPr="00D839F4">
        <w:t>developmentin</w:t>
      </w:r>
      <w:proofErr w:type="spellEnd"/>
      <w:r w:rsidRPr="00D839F4">
        <w:t xml:space="preserve"> the "New Independent States" of post- Cold War Eastern Europe and other regions of the world that were designated "in transition to democracy."11 These conferences, moreover, demonstrate how a "liberal feminist" strategic orientation guided American women, inside and outside government, to consider the state to be a potential ally of women, which sought to remove legal barriers and reform government institutions that limited women's participation especially at the leadership levels. Activists who held a "radical feminist" perspective challenged liberal feminist theory, rejected the state system as an "oppressive" adversary of women which perpetuated patriarchy, racism, classism, nativism, and heterosexism, and asserted collaboration with the state led inevitably to cooptation of feminist aims.</w:t>
      </w:r>
    </w:p>
    <w:p w14:paraId="530587E2" w14:textId="77777777" w:rsidR="004304E2" w:rsidRPr="00D839F4" w:rsidRDefault="004304E2" w:rsidP="00D839F4">
      <w:pPr>
        <w:pStyle w:val="Heading4"/>
      </w:pPr>
      <w:r w:rsidRPr="00D839F4">
        <w:lastRenderedPageBreak/>
        <w:t xml:space="preserve">National Security and the initial benefits of economic relationships are undermined when economic interest is valued above Women’s rights. </w:t>
      </w:r>
    </w:p>
    <w:p w14:paraId="163AD60D" w14:textId="77777777" w:rsidR="004304E2" w:rsidRPr="00D839F4" w:rsidRDefault="004304E2" w:rsidP="00D839F4">
      <w:pPr>
        <w:rPr>
          <w:rStyle w:val="Style13ptBold"/>
        </w:rPr>
      </w:pPr>
      <w:r w:rsidRPr="00D839F4">
        <w:rPr>
          <w:rStyle w:val="Style13ptBold"/>
        </w:rPr>
        <w:t xml:space="preserve">Cohen, University of Bern, 2008 </w:t>
      </w:r>
      <w:r w:rsidRPr="00D839F4">
        <w:rPr>
          <w:rStyle w:val="Style13ptBold"/>
          <w:b w:val="0"/>
        </w:rPr>
        <w:t xml:space="preserve">(INTEGRATING HUMAN RIGHTS IN US FOREIGN POLICY: THE HISTORY, THE CHALLENGES, AND THE CRITERIA FOR AN EFFECTIVE POLICY ROBERTA COHEN NONRESIDENT SENIOR FELLOW, THE BROOKINGS INSTITUTION FOREIGN SERVICE INSTITUTE, 2008. The Brookings Institution – University of Bern Project on Internal Displacement) </w:t>
      </w:r>
    </w:p>
    <w:p w14:paraId="6A32683E" w14:textId="77777777" w:rsidR="004304E2" w:rsidRPr="00D839F4" w:rsidRDefault="004304E2" w:rsidP="00D839F4">
      <w:r w:rsidRPr="00D839F4">
        <w:t>Second, the promotion of human rights must be defined as a national interest reflecting American values and bearing on national security. Rather than defining the policy in terms of morality or religion, it should be underscored that governments with open societies and that respect human rights are better allies and less likely to be threats to international peace and security and that our interests are not well served over the long term by allying ourselves with oppressive regimes. Moreover, respect for human rights should be presented as in the interest of foreign governments as well. I always liked the following quotation: “Never appeal to a man’s better nature. He may not have one. Invoking his self-interest gives you more leverage.” Once the policy is defined as a national interest, there should be a willingness to pay something for it. If trade and exports or the war on terror always trump human rights considerations, the policy will not be effective.</w:t>
      </w:r>
    </w:p>
    <w:p w14:paraId="2AD60338" w14:textId="77777777" w:rsidR="004304E2" w:rsidRPr="00D839F4" w:rsidRDefault="004304E2" w:rsidP="00D839F4">
      <w:pPr>
        <w:pStyle w:val="Heading4"/>
      </w:pPr>
      <w:r w:rsidRPr="00D839F4">
        <w:t>Child Marriage</w:t>
      </w:r>
    </w:p>
    <w:p w14:paraId="6F463603" w14:textId="77777777" w:rsidR="004304E2" w:rsidRPr="00D839F4" w:rsidRDefault="004304E2" w:rsidP="00D839F4">
      <w:pPr>
        <w:rPr>
          <w:rStyle w:val="Style13ptBold"/>
        </w:rPr>
      </w:pPr>
      <w:r w:rsidRPr="00D839F4">
        <w:rPr>
          <w:rStyle w:val="Style13ptBold"/>
        </w:rPr>
        <w:t xml:space="preserve">Vogelstein, Georgetown University, 2013 </w:t>
      </w:r>
      <w:r w:rsidRPr="00D839F4">
        <w:rPr>
          <w:rStyle w:val="Style13ptBold"/>
          <w:b w:val="0"/>
        </w:rPr>
        <w:t>(May 2013) (Council on Foreign Relations Press) (Ending Child Marriage How Elevating the Status of Girls Advances U.S. Foreign Policy Objectives) (Adjunct professor of women's human rights at Georgetown University) (Rachel B. Vogelstein)</w:t>
      </w:r>
    </w:p>
    <w:p w14:paraId="7392F38B" w14:textId="77777777" w:rsidR="004304E2" w:rsidRPr="00D839F4" w:rsidRDefault="004304E2" w:rsidP="00D839F4">
      <w:r w:rsidRPr="00D839F4">
        <w:t xml:space="preserve">Child marriage- also referred to as early and forced marriage- is a practice that has persisted for centuries. Today, it is defined as a formal or customary union in which one or both parties are under the age of eighteen. This practice takes place across regions, cultures, and religions, and though it plagues children of both sexes, girls are disproportionately affected. The practice of child marriage is a violation of human rights. Every day, girls around the world are forced to leave their families, marry against their will, endure sexual and physical abuse, and bear children while still in childhood themselves. This practice is driven by poverty, deeply embedded cultural traditions, and pervasive discrimination against girls. According to some human rights experts, it is tantamount to sexual slavery. Yet in many parts of the world, this ancient practice still flourishes: estimates show that nearly five million girls are married under the age of fifteen every year, and some are as young as eight or nine years old. The global prevalence of child marriage is on a downward trajectory, particularly among younger girls; however, progress in curbing this tradition has been slow, and in some places the problem remains intractable. The sheer number of women married as children is staggering: the United Nations estimates that in 2011 one in three women aged twenty to twenty-four – almost seventy million – had married under the age of eighteen. Many of these women were far younger than eighteen at the time of their marriage; in fact, more than twenty-three million were married or in a union before the age of fifteen, which amounts to about thirteen thousand girls under fifteen being married every day. Given current trends, experts predict that by 2020, some fifty million girls will be married before they reach their fifteenth </w:t>
      </w:r>
      <w:r w:rsidRPr="00D839F4">
        <w:lastRenderedPageBreak/>
        <w:t>birthdays. Child marriage, however, is not simply a human rights violation. It is also a threat to the prosperity and stability of the countries in which it is prevalent and undermines U.S. development and foreign policy priorities. Child marriage perpetuates poverty over generations and is linked to poor health, curtailed education, violence, instability, and disregard for the rule of law. Its effects are harmful not only to girls, but also to families, communities, and economies- and to U.S. interests – around the globe. Given the worldwide prevalence of child marriage and its relationship to U.S. foreign policy priorities, it merits a higher place on the international agenda. In recent years, the U.S. government has enacted a comprehensive policy framework that recognizes the promotion of gender equality as a cornerstone of U.S. foreign policy. Congress has underscored this strategic focus on gender equality by passing a law that mandates the secretary of state to develop a strategy to combat child marriage. To meet this new requirement, the United States should raise child marriage more prominently in its deplumation relations with affected states; increase funding to combat this practice; target its investments; and improve research, monitoring, and evaluation in this area. American leadership on child marriage will simultaneously raise the status of girls and advance critical U.S. foreign policy objectives around the world.</w:t>
      </w:r>
    </w:p>
    <w:p w14:paraId="67960F68" w14:textId="77777777" w:rsidR="004304E2" w:rsidRPr="00D839F4" w:rsidRDefault="004304E2" w:rsidP="00D839F4">
      <w:pPr>
        <w:pStyle w:val="Heading4"/>
      </w:pPr>
      <w:r w:rsidRPr="00D839F4">
        <w:t>Women are affected more.</w:t>
      </w:r>
    </w:p>
    <w:p w14:paraId="02DA08FD" w14:textId="77777777" w:rsidR="004304E2" w:rsidRPr="00D839F4" w:rsidRDefault="004304E2" w:rsidP="00D839F4">
      <w:pPr>
        <w:rPr>
          <w:rStyle w:val="Style13ptBold"/>
        </w:rPr>
      </w:pPr>
      <w:r w:rsidRPr="00D839F4">
        <w:rPr>
          <w:rStyle w:val="Style13ptBold"/>
        </w:rPr>
        <w:t xml:space="preserve">Ross, 2012 </w:t>
      </w:r>
      <w:r w:rsidRPr="00D839F4">
        <w:rPr>
          <w:rStyle w:val="Style13ptBold"/>
          <w:b w:val="0"/>
        </w:rPr>
        <w:t xml:space="preserve">(21 December, 2012 By </w:t>
      </w:r>
      <w:proofErr w:type="spellStart"/>
      <w:r w:rsidRPr="00D839F4">
        <w:rPr>
          <w:rStyle w:val="Style13ptBold"/>
          <w:b w:val="0"/>
        </w:rPr>
        <w:t>Simona</w:t>
      </w:r>
      <w:proofErr w:type="spellEnd"/>
      <w:r w:rsidRPr="00D839F4">
        <w:rPr>
          <w:rStyle w:val="Style13ptBold"/>
          <w:b w:val="0"/>
        </w:rPr>
        <w:t xml:space="preserve"> Ross UNITED STATES INVOLVEMENT IN CONFLICT RESOLUTION IN AFRICA 42 Brook Street | London | W1K 5DB | United Kingdom Registration number 07099005 (in England and Wales)</w:t>
      </w:r>
    </w:p>
    <w:p w14:paraId="01977D39" w14:textId="77777777" w:rsidR="004304E2" w:rsidRPr="00D839F4" w:rsidRDefault="004304E2" w:rsidP="00D839F4">
      <w:r w:rsidRPr="00D839F4">
        <w:t>To achieve sustainable peace, peace efforts by the U.S. have to be aware that conflicts affect women more than men due to rape, violence, and because they are the primary care-givers. [They must also be aware] of the suffering women went through and acknowledge the important role women play in the peace process. The U.S. has to enhance women’s participation in conflict resolution, build institutional capacity to support gender equity and peace building, provide information concerning women’s issues and gender-based-violence, and ensure funding to integrate gender and conflict resolution (</w:t>
      </w:r>
      <w:proofErr w:type="spellStart"/>
      <w:r w:rsidRPr="00D839F4">
        <w:t>Klot</w:t>
      </w:r>
      <w:proofErr w:type="spellEnd"/>
      <w:r w:rsidRPr="00D839F4">
        <w:t>, 2007). Various agencies from the U.S. government formed a coalition to develop the U.S. National Action Plan on Women, Peace and Security. The main objective of this initiative is to promote greater participation of women in conflict resolution, peace negotiations, post-conflict reconciliation, as well as to ensure access to relief assistance and protection from gender-based violence (USIP, 2012, September 6).</w:t>
      </w:r>
    </w:p>
    <w:p w14:paraId="2BABA6BD" w14:textId="77777777" w:rsidR="004304E2" w:rsidRPr="00D839F4" w:rsidRDefault="00D839F4" w:rsidP="00D839F4">
      <w:pPr>
        <w:pStyle w:val="Heading1"/>
      </w:pPr>
      <w:bookmarkStart w:id="11" w:name="_Toc271701372"/>
      <w:r>
        <w:lastRenderedPageBreak/>
        <w:t>Negative Case</w:t>
      </w:r>
      <w:bookmarkEnd w:id="11"/>
    </w:p>
    <w:p w14:paraId="73285F84" w14:textId="77777777" w:rsidR="002B4247" w:rsidRPr="00D839F4" w:rsidRDefault="002B4247" w:rsidP="00D839F4">
      <w:pPr>
        <w:pStyle w:val="Heading3"/>
      </w:pPr>
      <w:bookmarkStart w:id="12" w:name="_Toc271701373"/>
      <w:r w:rsidRPr="00D839F4">
        <w:lastRenderedPageBreak/>
        <w:t>I negate the resolution: United States Foreign Policy ought to value women’s rights over the pursuit of its economic interests when the two conflict.</w:t>
      </w:r>
      <w:bookmarkEnd w:id="12"/>
    </w:p>
    <w:p w14:paraId="6EE54738" w14:textId="77777777" w:rsidR="002B4247" w:rsidRPr="00D839F4" w:rsidRDefault="002B4247" w:rsidP="00D839F4"/>
    <w:p w14:paraId="6CEA261A" w14:textId="77777777" w:rsidR="002B4247" w:rsidRPr="00D839F4" w:rsidRDefault="002B4247" w:rsidP="00D839F4">
      <w:pPr>
        <w:pStyle w:val="Heading3"/>
      </w:pPr>
      <w:bookmarkStart w:id="13" w:name="_Toc271701374"/>
      <w:r w:rsidRPr="00D839F4">
        <w:lastRenderedPageBreak/>
        <w:t>Observation 1: Framework and Standard</w:t>
      </w:r>
      <w:bookmarkEnd w:id="13"/>
    </w:p>
    <w:p w14:paraId="6DC4AFE6" w14:textId="77777777" w:rsidR="002B4247" w:rsidRPr="00D839F4" w:rsidRDefault="002B4247" w:rsidP="00D839F4">
      <w:pPr>
        <w:pStyle w:val="Heading4"/>
      </w:pPr>
      <w:r w:rsidRPr="00D839F4">
        <w:t>In this round we must look towards what best fulfills the value of Difference</w:t>
      </w:r>
    </w:p>
    <w:p w14:paraId="2D9CFF85" w14:textId="77777777" w:rsidR="002B4247" w:rsidRPr="00D839F4" w:rsidRDefault="002B4247" w:rsidP="00D839F4">
      <w:pPr>
        <w:rPr>
          <w:rStyle w:val="Style13ptBold"/>
        </w:rPr>
      </w:pPr>
      <w:r w:rsidRPr="00D839F4">
        <w:rPr>
          <w:rStyle w:val="Style13ptBold"/>
        </w:rPr>
        <w:t xml:space="preserve">John T. Warren 08 </w:t>
      </w:r>
      <w:r w:rsidRPr="00D839F4">
        <w:rPr>
          <w:rStyle w:val="Style13ptBold"/>
          <w:b w:val="0"/>
        </w:rPr>
        <w:t xml:space="preserve">“Performing Difference” Journal of International and Intercultural Communication </w:t>
      </w:r>
      <w:hyperlink r:id="rId19" w:anchor="vol_1" w:history="1">
        <w:r w:rsidRPr="00D839F4">
          <w:rPr>
            <w:rStyle w:val="Style13ptBold"/>
            <w:b w:val="0"/>
          </w:rPr>
          <w:t>Volume 1</w:t>
        </w:r>
      </w:hyperlink>
      <w:r w:rsidRPr="00D839F4">
        <w:rPr>
          <w:rStyle w:val="Style13ptBold"/>
          <w:b w:val="0"/>
        </w:rPr>
        <w:t xml:space="preserve">, </w:t>
      </w:r>
      <w:hyperlink r:id="rId20" w:history="1">
        <w:r w:rsidRPr="00D839F4">
          <w:rPr>
            <w:rStyle w:val="Style13ptBold"/>
            <w:b w:val="0"/>
          </w:rPr>
          <w:t>Issue 4</w:t>
        </w:r>
      </w:hyperlink>
      <w:r w:rsidRPr="00D839F4">
        <w:rPr>
          <w:rStyle w:val="Style13ptBold"/>
          <w:b w:val="0"/>
        </w:rPr>
        <w:t>, 2008 Associate Professor in the Department of Speech Communication at Southern Illinois University, Carbondale</w:t>
      </w:r>
    </w:p>
    <w:p w14:paraId="7B03599E" w14:textId="77777777" w:rsidR="002B4247" w:rsidRPr="00D839F4" w:rsidRDefault="002B4247" w:rsidP="00D839F4">
      <w:r w:rsidRPr="00D839F4">
        <w:t>‘It is not difference that presupposes opposition but opposition that presupposes difference, and far from resolving difference by tracing it back to a foundation, opposition betrays and distorts it’’ (1968/1994, p. 51). In large matter, difference has been conflated to opposition, reduced to a binary that is pitted against something else. In this way, difference is seen as a negative, rather than a positive. Continuing, he notes ‘‘difference is the object of affirmation or affirmation itself. In its essence, affirmation is itself difference’’ (p. 52). My first major discovery, as a thinker about culture, is that [In culture] difference need not be coded in the negative, as an opposition (i.e., I’m different from you), but should be seen as an affirmation (i.e., I’m unique and so are you). In many ways, this is an elementary idea: difference is the inevitable thread that makes us who we are and that can be a beautiful thing. This is not the same as saying that we are all different and therefore all the same; rather, it is to say that ‘It is not difference that presupposes opposition but opposition that presupposes difference, and far from resolving difference by tracing it back to a foundation, opposition betrays and distorts it’’ (1968/1994, p. 51). In large matter, difference has been conflated to opposition, reduced to a binary that is pitted against something else. In this way, difference is seen as a negative, rather than a positive. Continuing, he notes ‘‘difference is the object of affirmation or affirmation itself. In its essence, affirmation is itself difference’’ (p. 52). My first major discovery, as a thinker about culture, is that [In culture] difference need not be coded in the negative, as an opposition (i.e., I’m different from you), but should be seen as an affirmation (i.e., I’m unique and so are you). In many ways, this is an elementary idea: difference is the inevitable thread that makes us who we are and that can be a beautiful thing.”</w:t>
      </w:r>
    </w:p>
    <w:p w14:paraId="4A920D77" w14:textId="77777777" w:rsidR="002B4247" w:rsidRPr="00D839F4" w:rsidRDefault="002B4247" w:rsidP="00D839F4"/>
    <w:p w14:paraId="601B6CDD" w14:textId="77777777" w:rsidR="002B4247" w:rsidRPr="00D839F4" w:rsidRDefault="002B4247" w:rsidP="00D839F4">
      <w:pPr>
        <w:pStyle w:val="Heading4"/>
      </w:pPr>
      <w:r w:rsidRPr="00D839F4">
        <w:t>We need to look towards a value of difference as it can allow us to understand the world in a more moral and functional way. By understanding that differences do in</w:t>
      </w:r>
      <w:r w:rsidR="00D839F4">
        <w:t xml:space="preserve"> </w:t>
      </w:r>
      <w:r w:rsidRPr="00D839F4">
        <w:t>fact exist we are ensuring a stronger outlook on society as we are upholding a mentality that rejects opposition of difference.</w:t>
      </w:r>
    </w:p>
    <w:p w14:paraId="172C43F0" w14:textId="77777777" w:rsidR="00545A1F" w:rsidRPr="00D839F4" w:rsidRDefault="00545A1F" w:rsidP="00D839F4"/>
    <w:p w14:paraId="18370603" w14:textId="77777777" w:rsidR="002B4247" w:rsidRPr="00D839F4" w:rsidRDefault="002B4247" w:rsidP="00D839F4">
      <w:pPr>
        <w:pStyle w:val="Heading4"/>
      </w:pPr>
      <w:r w:rsidRPr="00D839F4">
        <w:t>To evaluate if difference is being maintained we must look towards a Standard of Cultural Autonomy. Using such enables us to understand that as cultural relativism is prevalent in the global society, cultural freedom must be recognized to ensure that difference is upheld.</w:t>
      </w:r>
    </w:p>
    <w:p w14:paraId="11EE60EF" w14:textId="77777777" w:rsidR="00545A1F" w:rsidRPr="00D839F4" w:rsidRDefault="00545A1F" w:rsidP="00D839F4"/>
    <w:p w14:paraId="01095B03" w14:textId="77777777" w:rsidR="002B4247" w:rsidRPr="00D839F4" w:rsidRDefault="002B4247" w:rsidP="00D839F4">
      <w:pPr>
        <w:pStyle w:val="Heading3"/>
      </w:pPr>
      <w:bookmarkStart w:id="14" w:name="_Toc271701375"/>
      <w:r w:rsidRPr="00D839F4">
        <w:lastRenderedPageBreak/>
        <w:t>C1. Western Feminism is a form of constant cultural oppression in the status quo.</w:t>
      </w:r>
      <w:bookmarkEnd w:id="14"/>
    </w:p>
    <w:p w14:paraId="5EF53FAE" w14:textId="77777777" w:rsidR="002B4247" w:rsidRPr="00D839F4" w:rsidRDefault="002B4247" w:rsidP="00D839F4"/>
    <w:p w14:paraId="0198DBE5" w14:textId="77777777" w:rsidR="002B4247" w:rsidRPr="00D839F4" w:rsidRDefault="002B4247" w:rsidP="00D839F4">
      <w:pPr>
        <w:pStyle w:val="Heading4"/>
      </w:pPr>
      <w:r w:rsidRPr="00D839F4">
        <w:t>In today’s society we have seen instances in which White feminism has oppressed culture and group identity.</w:t>
      </w:r>
    </w:p>
    <w:p w14:paraId="60388B6C" w14:textId="77777777" w:rsidR="002B4247" w:rsidRPr="00D839F4" w:rsidRDefault="002B4247" w:rsidP="00D839F4">
      <w:pPr>
        <w:rPr>
          <w:rStyle w:val="Style13ptBold"/>
        </w:rPr>
      </w:pPr>
      <w:r w:rsidRPr="00D839F4">
        <w:rPr>
          <w:rStyle w:val="Style13ptBold"/>
          <w:b w:val="0"/>
        </w:rPr>
        <w:t>Kevin J.</w:t>
      </w:r>
      <w:r w:rsidRPr="00D839F4">
        <w:rPr>
          <w:rStyle w:val="Style13ptBold"/>
        </w:rPr>
        <w:t xml:space="preserve"> </w:t>
      </w:r>
      <w:proofErr w:type="spellStart"/>
      <w:proofErr w:type="gramStart"/>
      <w:r w:rsidRPr="00D839F4">
        <w:rPr>
          <w:rStyle w:val="Style13ptBold"/>
        </w:rPr>
        <w:t>Ayotte</w:t>
      </w:r>
      <w:proofErr w:type="spellEnd"/>
      <w:r w:rsidRPr="00D839F4">
        <w:rPr>
          <w:rStyle w:val="Style13ptBold"/>
        </w:rPr>
        <w:t xml:space="preserve">  and</w:t>
      </w:r>
      <w:proofErr w:type="gramEnd"/>
      <w:r w:rsidRPr="00D839F4">
        <w:rPr>
          <w:rStyle w:val="Style13ptBold"/>
        </w:rPr>
        <w:t xml:space="preserve"> </w:t>
      </w:r>
      <w:r w:rsidRPr="00D839F4">
        <w:rPr>
          <w:rStyle w:val="Style13ptBold"/>
          <w:b w:val="0"/>
        </w:rPr>
        <w:t>Mary E.</w:t>
      </w:r>
      <w:r w:rsidRPr="00D839F4">
        <w:rPr>
          <w:rStyle w:val="Style13ptBold"/>
        </w:rPr>
        <w:t xml:space="preserve"> Husain </w:t>
      </w:r>
      <w:r w:rsidR="00545A1F" w:rsidRPr="00D839F4">
        <w:rPr>
          <w:rStyle w:val="Style13ptBold"/>
        </w:rPr>
        <w:t xml:space="preserve">2005 </w:t>
      </w:r>
      <w:r w:rsidR="00545A1F" w:rsidRPr="00D839F4">
        <w:rPr>
          <w:rStyle w:val="Style13ptBold"/>
          <w:b w:val="0"/>
        </w:rPr>
        <w:t>(</w:t>
      </w:r>
      <w:r w:rsidRPr="00D839F4">
        <w:rPr>
          <w:rStyle w:val="Style13ptBold"/>
          <w:b w:val="0"/>
        </w:rPr>
        <w:t>NWSA Journal, Vol. 17, No. 3, States of Insecurity and the Gendered Politics of Fear (Autumn, 2005), pp. 112-133</w:t>
      </w:r>
      <w:r w:rsidR="00545A1F" w:rsidRPr="00D839F4">
        <w:rPr>
          <w:rStyle w:val="Style13ptBold"/>
          <w:b w:val="0"/>
        </w:rPr>
        <w:t>)</w:t>
      </w:r>
    </w:p>
    <w:p w14:paraId="7449A704" w14:textId="77777777" w:rsidR="002B4247" w:rsidRPr="00D839F4" w:rsidRDefault="002B4247" w:rsidP="00D839F4">
      <w:r w:rsidRPr="00D839F4">
        <w:t>Postcolonial feminists have long recognized that paternalistic Western representations of third world women in need of saving by white Europeans are not benign (</w:t>
      </w:r>
      <w:proofErr w:type="spellStart"/>
      <w:r w:rsidRPr="00D839F4">
        <w:t>Mohanty</w:t>
      </w:r>
      <w:proofErr w:type="spellEnd"/>
      <w:r w:rsidRPr="00D839F4">
        <w:t xml:space="preserve"> 1991b, 72). Although the West's appropriation and construction of the third-world Muslim woman is not a new phenomenon, in the aftermath of 9/11 the circulation of images of veiled females reached epic proportions. U.S. media quickly capitalized on the veil as a visual and linguistic signifier of Afghan women's oppression. </w:t>
      </w:r>
      <w:proofErr w:type="spellStart"/>
      <w:r w:rsidRPr="00D839F4">
        <w:t>Burqa</w:t>
      </w:r>
      <w:proofErr w:type="spellEnd"/>
      <w:r w:rsidRPr="00D839F4">
        <w:t>-clad figures, potent political symbols of the "evil" of the Taliban, were suddenly everywhere.</w:t>
      </w:r>
      <w:r w:rsidR="00D839F4">
        <w:t xml:space="preserve"> </w:t>
      </w:r>
      <w:r w:rsidRPr="00D839F4">
        <w:t>Our intent is neither to support nor repudiate Islamic covering practices. Rather, we argue that U.S. discourses homogenize an extraordinarily diverse population of Muslim women. Noticeably rare in the U.S. construction of the Afghan woman is an explication of the origins, variety, and underlying meanings of these practices that have shifted across historically specific cultural contexts (</w:t>
      </w:r>
      <w:proofErr w:type="spellStart"/>
      <w:r w:rsidRPr="00D839F4">
        <w:t>Mohanty</w:t>
      </w:r>
      <w:proofErr w:type="spellEnd"/>
      <w:r w:rsidRPr="00D839F4">
        <w:t xml:space="preserve"> 1991b, 67; </w:t>
      </w:r>
      <w:proofErr w:type="spellStart"/>
      <w:r w:rsidRPr="00D839F4">
        <w:t>Mojab</w:t>
      </w:r>
      <w:proofErr w:type="spellEnd"/>
      <w:r w:rsidRPr="00D839F4">
        <w:t xml:space="preserve"> 1998, 21). Although an exhaustive description of covering practices would be impossible, a brief foray into their variety will help to highlight the false homogeneity of U.S. representations. Contrary to popular misconceptions, these cultural practices originated prior to the rise of Islam (Ahmed 1992, 5).4 The monolithic image of the Taliban-imposed </w:t>
      </w:r>
      <w:proofErr w:type="spellStart"/>
      <w:r w:rsidRPr="00D839F4">
        <w:t>burqa</w:t>
      </w:r>
      <w:proofErr w:type="spellEnd"/>
      <w:r w:rsidRPr="00D839F4">
        <w:t xml:space="preserve"> is also just one among many covering "styles," a phrase that seems oxymoronic in light of the often homogenous portrayal of Islam in Western media (Abu-</w:t>
      </w:r>
      <w:proofErr w:type="spellStart"/>
      <w:r w:rsidRPr="00D839F4">
        <w:t>Lughod</w:t>
      </w:r>
      <w:proofErr w:type="spellEnd"/>
      <w:r w:rsidRPr="00D839F4">
        <w:t xml:space="preserve"> 2002, 786).</w:t>
      </w:r>
      <w:r w:rsidR="00D839F4">
        <w:t xml:space="preserve"> </w:t>
      </w:r>
      <w:r w:rsidRPr="00D839F4">
        <w:t>Meanings of oppression are certainly not intrinsic to Islamic covering practices but are socially constructed through [that] discourse. Covering has functioned in a multiplicity of ways throughout time. For example, its use as an expression of agency (e.g., in the resistance movements against secular governments in Turkey, Egypt, Algeria, and Iran) [that] has been elided by Western media (</w:t>
      </w:r>
      <w:proofErr w:type="spellStart"/>
      <w:r w:rsidRPr="00D839F4">
        <w:t>Mojab</w:t>
      </w:r>
      <w:proofErr w:type="spellEnd"/>
      <w:r w:rsidRPr="00D839F4">
        <w:t xml:space="preserve"> 1998, 20). In some Middle Eastern countries, covering signifies the initiation of women into fundamentalist resistance movements (Franks 2000, 919). During the 1979 revolution, middle-class Iranian women "veiled themselves" as a symbol of protest against the Shah and "Western cultural colonization," or as a means of expressing their solidarity with working-class women (</w:t>
      </w:r>
      <w:proofErr w:type="spellStart"/>
      <w:r w:rsidRPr="00D839F4">
        <w:t>Mohanty</w:t>
      </w:r>
      <w:proofErr w:type="spellEnd"/>
      <w:r w:rsidRPr="00D839F4">
        <w:t xml:space="preserve"> 1991b, 67). </w:t>
      </w:r>
    </w:p>
    <w:p w14:paraId="489948A0" w14:textId="77777777" w:rsidR="002B4247" w:rsidRPr="00D839F4" w:rsidRDefault="002B4247" w:rsidP="00D839F4"/>
    <w:p w14:paraId="3B840BD9" w14:textId="77777777" w:rsidR="002B4247" w:rsidRPr="00D839F4" w:rsidRDefault="002B4247" w:rsidP="00D839F4">
      <w:pPr>
        <w:pStyle w:val="Heading3"/>
      </w:pPr>
      <w:bookmarkStart w:id="15" w:name="_Toc271701376"/>
      <w:r w:rsidRPr="00D839F4">
        <w:lastRenderedPageBreak/>
        <w:t>C2) Cultural Oppression leads to violence</w:t>
      </w:r>
      <w:bookmarkEnd w:id="15"/>
    </w:p>
    <w:p w14:paraId="53C768FC" w14:textId="77777777" w:rsidR="002B4247" w:rsidRPr="00D839F4" w:rsidRDefault="002B4247" w:rsidP="00D839F4">
      <w:pPr>
        <w:pStyle w:val="Heading4"/>
        <w:numPr>
          <w:ilvl w:val="0"/>
          <w:numId w:val="11"/>
        </w:numPr>
      </w:pPr>
      <w:r w:rsidRPr="00D839F4">
        <w:t xml:space="preserve">Oppressed group identities lead towards </w:t>
      </w:r>
      <w:proofErr w:type="gramStart"/>
      <w:r w:rsidRPr="00D839F4">
        <w:t>Direct</w:t>
      </w:r>
      <w:proofErr w:type="gramEnd"/>
      <w:r w:rsidRPr="00D839F4">
        <w:t xml:space="preserve"> violence</w:t>
      </w:r>
    </w:p>
    <w:p w14:paraId="24136DA1" w14:textId="77777777" w:rsidR="002B4247" w:rsidRPr="00D839F4" w:rsidRDefault="002B4247" w:rsidP="00D839F4">
      <w:pPr>
        <w:rPr>
          <w:rStyle w:val="Style13ptBold"/>
        </w:rPr>
      </w:pPr>
      <w:r w:rsidRPr="00D839F4">
        <w:rPr>
          <w:rStyle w:val="Style13ptBold"/>
        </w:rPr>
        <w:t xml:space="preserve">Christie 1997, </w:t>
      </w:r>
      <w:r w:rsidR="00545A1F" w:rsidRPr="00D839F4">
        <w:rPr>
          <w:rStyle w:val="Style13ptBold"/>
          <w:b w:val="0"/>
        </w:rPr>
        <w:t>(</w:t>
      </w:r>
      <w:r w:rsidRPr="00D839F4">
        <w:rPr>
          <w:rStyle w:val="Style13ptBold"/>
          <w:b w:val="0"/>
        </w:rPr>
        <w:t>Daniel J., Peace and Conflict: Journal of Peace Psychology, 10781919, 1997, Vol. 3, Issue 4</w:t>
      </w:r>
      <w:r w:rsidR="00545A1F" w:rsidRPr="00D839F4">
        <w:rPr>
          <w:rStyle w:val="Style13ptBold"/>
          <w:b w:val="0"/>
        </w:rPr>
        <w:t>)</w:t>
      </w:r>
    </w:p>
    <w:p w14:paraId="18618A6A" w14:textId="77777777" w:rsidR="002B4247" w:rsidRPr="00D839F4" w:rsidRDefault="002B4247" w:rsidP="00D839F4">
      <w:r w:rsidRPr="00D839F4">
        <w:t xml:space="preserve">People are dying from war, but since 1945, more people have died at the hands of their compatriots than through interstate </w:t>
      </w:r>
      <w:proofErr w:type="gramStart"/>
      <w:r w:rsidRPr="00D839F4">
        <w:t xml:space="preserve">violence ( </w:t>
      </w:r>
      <w:proofErr w:type="gramEnd"/>
      <w:r w:rsidRPr="00D839F4">
        <w:fldChar w:fldCharType="begin"/>
      </w:r>
      <w:r w:rsidRPr="00D839F4">
        <w:instrText xml:space="preserve"> HYPERLINK "http://web.b.ebscohost.com/ehost/detail?sid=d7c53171-dd87-4c53-bffc-09fe50aae01b%40sessionmgr111&amp;vid=2&amp;hid=112&amp;bdata=JnNpdGU9ZWhvc3QtbGl2ZQ%3d%3d" \l "c30" </w:instrText>
      </w:r>
      <w:r w:rsidRPr="00D839F4">
        <w:fldChar w:fldCharType="separate"/>
      </w:r>
      <w:r w:rsidRPr="00D839F4">
        <w:rPr>
          <w:rStyle w:val="Hyperlink"/>
        </w:rPr>
        <w:t>Lopez, 1994</w:t>
      </w:r>
      <w:r w:rsidRPr="00D839F4">
        <w:fldChar w:fldCharType="end"/>
      </w:r>
      <w:r w:rsidRPr="00D839F4">
        <w:t xml:space="preserve">). Can episodes of genocide and </w:t>
      </w:r>
      <w:proofErr w:type="spellStart"/>
      <w:r w:rsidRPr="00D839F4">
        <w:t>politicide</w:t>
      </w:r>
      <w:proofErr w:type="spellEnd"/>
      <w:r w:rsidRPr="00D839F4">
        <w:t xml:space="preserve"> [otherwise known as direct violence], a kind of violence that has occurred more than 40 times since 1945 with casualties ranging from 7 to 16 million </w:t>
      </w:r>
      <w:proofErr w:type="gramStart"/>
      <w:r w:rsidRPr="00D839F4">
        <w:t xml:space="preserve">people ( </w:t>
      </w:r>
      <w:proofErr w:type="gramEnd"/>
      <w:r w:rsidRPr="00D839F4">
        <w:fldChar w:fldCharType="begin"/>
      </w:r>
      <w:r w:rsidRPr="00D839F4">
        <w:instrText xml:space="preserve"> HYPERLINK "http://web.b.ebscohost.com/ehost/detail?sid=d7c53171-dd87-4c53-bffc-09fe50aae01b%40sessionmgr111&amp;vid=2&amp;hid=112&amp;bdata=JnNpdGU9ZWhvc3QtbGl2ZQ%3d%3d" \l "c20" </w:instrText>
      </w:r>
      <w:r w:rsidRPr="00D839F4">
        <w:fldChar w:fldCharType="separate"/>
      </w:r>
      <w:proofErr w:type="spellStart"/>
      <w:r w:rsidRPr="00D839F4">
        <w:rPr>
          <w:rStyle w:val="Hyperlink"/>
        </w:rPr>
        <w:t>Harff</w:t>
      </w:r>
      <w:proofErr w:type="spellEnd"/>
      <w:r w:rsidRPr="00D839F4">
        <w:rPr>
          <w:rStyle w:val="Hyperlink"/>
        </w:rPr>
        <w:t xml:space="preserve"> &amp; </w:t>
      </w:r>
      <w:proofErr w:type="spellStart"/>
      <w:r w:rsidRPr="00D839F4">
        <w:rPr>
          <w:rStyle w:val="Hyperlink"/>
        </w:rPr>
        <w:t>Gurr</w:t>
      </w:r>
      <w:proofErr w:type="spellEnd"/>
      <w:r w:rsidRPr="00D839F4">
        <w:rPr>
          <w:rStyle w:val="Hyperlink"/>
        </w:rPr>
        <w:t>, 1988</w:t>
      </w:r>
      <w:r w:rsidRPr="00D839F4">
        <w:fldChar w:fldCharType="end"/>
      </w:r>
      <w:r w:rsidRPr="00D839F4">
        <w:t xml:space="preserve">), be explained by the pursuit of the identity need? In many cases, genocides and </w:t>
      </w:r>
      <w:proofErr w:type="spellStart"/>
      <w:r w:rsidRPr="00D839F4">
        <w:t>politicides</w:t>
      </w:r>
      <w:proofErr w:type="spellEnd"/>
      <w:r w:rsidRPr="00D839F4">
        <w:t xml:space="preserve"> represent brutal efforts to maintain the security of one identity group at the expense of other </w:t>
      </w:r>
      <w:proofErr w:type="gramStart"/>
      <w:r w:rsidRPr="00D839F4">
        <w:t xml:space="preserve">groups ( </w:t>
      </w:r>
      <w:proofErr w:type="gramEnd"/>
      <w:r w:rsidRPr="00D839F4">
        <w:fldChar w:fldCharType="begin"/>
      </w:r>
      <w:r w:rsidRPr="00D839F4">
        <w:instrText xml:space="preserve"> HYPERLINK "http://web.b.ebscohost.com/ehost/detail?sid=d7c53171-dd87-4c53-bffc-09fe50aae01b%40sessionmgr111&amp;vid=2&amp;hid=112&amp;bdata=JnNpdGU9ZWhvc3QtbGl2ZQ%3d%3d" \l "c45" </w:instrText>
      </w:r>
      <w:r w:rsidRPr="00D839F4">
        <w:fldChar w:fldCharType="separate"/>
      </w:r>
      <w:proofErr w:type="spellStart"/>
      <w:r w:rsidRPr="00D839F4">
        <w:rPr>
          <w:rStyle w:val="Hyperlink"/>
        </w:rPr>
        <w:t>Sandole</w:t>
      </w:r>
      <w:proofErr w:type="spellEnd"/>
      <w:r w:rsidRPr="00D839F4">
        <w:rPr>
          <w:rStyle w:val="Hyperlink"/>
        </w:rPr>
        <w:t>, 1990</w:t>
      </w:r>
      <w:r w:rsidRPr="00D839F4">
        <w:fldChar w:fldCharType="end"/>
      </w:r>
      <w:r w:rsidRPr="00D839F4">
        <w:t xml:space="preserve">). </w:t>
      </w:r>
      <w:hyperlink r:id="rId21" w:anchor="c40" w:history="1">
        <w:proofErr w:type="spellStart"/>
        <w:r w:rsidRPr="00D839F4">
          <w:rPr>
            <w:rStyle w:val="Hyperlink"/>
          </w:rPr>
          <w:t>Podestra</w:t>
        </w:r>
        <w:proofErr w:type="spellEnd"/>
        <w:r w:rsidRPr="00D839F4">
          <w:rPr>
            <w:rStyle w:val="Hyperlink"/>
          </w:rPr>
          <w:t xml:space="preserve"> (1987)</w:t>
        </w:r>
      </w:hyperlink>
      <w:r w:rsidRPr="00D839F4">
        <w:t xml:space="preserve">[Many] examined ongoing ethnic and religious conflicts in 25 countries and concluded that they were rooted in the need to assert group identity and the concomitant fear of group </w:t>
      </w:r>
      <w:proofErr w:type="spellStart"/>
      <w:r w:rsidRPr="00D839F4">
        <w:t>extinction.</w:t>
      </w:r>
      <w:hyperlink r:id="rId22" w:anchor="c27" w:history="1">
        <w:r w:rsidRPr="00D839F4">
          <w:rPr>
            <w:rStyle w:val="Hyperlink"/>
          </w:rPr>
          <w:t>Koestler</w:t>
        </w:r>
        <w:proofErr w:type="spellEnd"/>
        <w:r w:rsidRPr="00D839F4">
          <w:rPr>
            <w:rStyle w:val="Hyperlink"/>
          </w:rPr>
          <w:t xml:space="preserve"> (1967)</w:t>
        </w:r>
      </w:hyperlink>
      <w:r w:rsidRPr="00D839F4">
        <w:t xml:space="preserve"> captured the relation of the identity need and [direct] violence when he suggested that violence of this kind “is a ritual, a deadly ritual, not the result of aggressive, self-assertion, but of transcending identifications” (p. 235). </w:t>
      </w:r>
      <w:hyperlink r:id="rId23" w:anchor="c57" w:history="1">
        <w:r w:rsidRPr="00D839F4">
          <w:rPr>
            <w:rStyle w:val="Hyperlink"/>
          </w:rPr>
          <w:t>Wilson (1979)</w:t>
        </w:r>
      </w:hyperlink>
      <w:r w:rsidRPr="00D839F4">
        <w:t xml:space="preserve"> argued from a biological perspective that the human brain </w:t>
      </w:r>
      <w:proofErr w:type="gramStart"/>
      <w:r w:rsidRPr="00D839F4">
        <w:t>may</w:t>
      </w:r>
      <w:proofErr w:type="gramEnd"/>
      <w:r w:rsidRPr="00D839F4">
        <w:t xml:space="preserve"> be prewired to partition people into friends and aliens, suggesting that </w:t>
      </w:r>
      <w:proofErr w:type="spellStart"/>
      <w:r w:rsidRPr="00D839F4">
        <w:t>ourbuilt</w:t>
      </w:r>
      <w:proofErr w:type="spellEnd"/>
      <w:r w:rsidRPr="00D839F4">
        <w:t xml:space="preserve">-in universe was created prehistorically, at a time when the sight of a stranger was cause for concern. </w:t>
      </w:r>
      <w:hyperlink r:id="rId24" w:anchor="c53" w:history="1">
        <w:proofErr w:type="spellStart"/>
        <w:r w:rsidRPr="00D839F4">
          <w:rPr>
            <w:rStyle w:val="Hyperlink"/>
          </w:rPr>
          <w:t>Volkan</w:t>
        </w:r>
        <w:proofErr w:type="spellEnd"/>
        <w:r w:rsidRPr="00D839F4">
          <w:rPr>
            <w:rStyle w:val="Hyperlink"/>
          </w:rPr>
          <w:t xml:space="preserve"> (1985)</w:t>
        </w:r>
      </w:hyperlink>
      <w:r w:rsidRPr="00D839F4">
        <w:t xml:space="preserve"> went further and posited an ontogenetic “need for enemies” that </w:t>
      </w:r>
      <w:proofErr w:type="spellStart"/>
      <w:r w:rsidRPr="00D839F4">
        <w:t>arisesfrom</w:t>
      </w:r>
      <w:proofErr w:type="spellEnd"/>
      <w:r w:rsidRPr="00D839F4">
        <w:t xml:space="preserve"> the infant’s primitive differentiation between pleasure and pain, and between “us versus them,” key distinctions that are involved in the infant’s developing sense of identity. Not </w:t>
      </w:r>
      <w:proofErr w:type="spellStart"/>
      <w:r w:rsidRPr="00D839F4">
        <w:t>surprisingly</w:t>
      </w:r>
      <w:proofErr w:type="gramStart"/>
      <w:r w:rsidRPr="00D839F4">
        <w:t>,some</w:t>
      </w:r>
      <w:proofErr w:type="spellEnd"/>
      <w:proofErr w:type="gramEnd"/>
      <w:r w:rsidRPr="00D839F4">
        <w:t xml:space="preserve"> needs theorists begin with identity, the separation of self from other, as the most fundamental need of the person (cf. </w:t>
      </w:r>
      <w:hyperlink r:id="rId25" w:anchor="c34" w:history="1">
        <w:r w:rsidRPr="00D839F4">
          <w:rPr>
            <w:rStyle w:val="Hyperlink"/>
          </w:rPr>
          <w:t>Mitchell, 1990</w:t>
        </w:r>
      </w:hyperlink>
      <w:r w:rsidRPr="00D839F4">
        <w:t>).</w:t>
      </w:r>
      <w:r w:rsidR="00545A1F" w:rsidRPr="00D839F4">
        <w:t xml:space="preserve"> </w:t>
      </w:r>
      <w:hyperlink r:id="rId26" w:anchor="c47" w:history="1">
        <w:proofErr w:type="spellStart"/>
        <w:r w:rsidRPr="00D839F4">
          <w:rPr>
            <w:rStyle w:val="Hyperlink"/>
          </w:rPr>
          <w:t>Sivard</w:t>
        </w:r>
        <w:proofErr w:type="spellEnd"/>
        <w:r w:rsidRPr="00D839F4">
          <w:rPr>
            <w:rStyle w:val="Hyperlink"/>
          </w:rPr>
          <w:t xml:space="preserve"> (1987)</w:t>
        </w:r>
      </w:hyperlink>
      <w:r w:rsidRPr="00D839F4">
        <w:t xml:space="preserve"> examined organized violence with 1,000 or more fatalities over nearly three centuries (1700–1987), which in total amounted to more than 100 million casualties in 471 wars. These massive casualties can be explained by a variety of needs, but </w:t>
      </w:r>
      <w:hyperlink r:id="rId27" w:anchor="c45" w:history="1">
        <w:proofErr w:type="spellStart"/>
        <w:r w:rsidRPr="00D839F4">
          <w:rPr>
            <w:rStyle w:val="Hyperlink"/>
          </w:rPr>
          <w:t>Sandole</w:t>
        </w:r>
        <w:proofErr w:type="spellEnd"/>
        <w:r w:rsidRPr="00D839F4">
          <w:rPr>
            <w:rStyle w:val="Hyperlink"/>
          </w:rPr>
          <w:t xml:space="preserve"> (1990)</w:t>
        </w:r>
      </w:hyperlink>
      <w:r w:rsidRPr="00D839F4">
        <w:t xml:space="preserve"> suggested a useful heuristic: The security need is central in explanations of territorial wars; the identity need is salient in wars of independence.</w:t>
      </w:r>
    </w:p>
    <w:p w14:paraId="7107BE93" w14:textId="77777777" w:rsidR="002B4247" w:rsidRPr="00D839F4" w:rsidRDefault="002B4247" w:rsidP="00D839F4">
      <w:pPr>
        <w:pStyle w:val="Heading4"/>
        <w:numPr>
          <w:ilvl w:val="0"/>
          <w:numId w:val="11"/>
        </w:numPr>
      </w:pPr>
      <w:r w:rsidRPr="00D839F4">
        <w:t>The US mentality has lead to structural violence</w:t>
      </w:r>
    </w:p>
    <w:p w14:paraId="512704D6" w14:textId="77777777" w:rsidR="00545A1F" w:rsidRPr="00D518BE" w:rsidRDefault="00545A1F" w:rsidP="00D839F4">
      <w:pPr>
        <w:rPr>
          <w:rStyle w:val="Style13ptBold"/>
        </w:rPr>
      </w:pPr>
      <w:r w:rsidRPr="00D518BE">
        <w:rPr>
          <w:rStyle w:val="Style13ptBold"/>
          <w:b w:val="0"/>
        </w:rPr>
        <w:t>Kevin J.</w:t>
      </w:r>
      <w:r w:rsidRPr="00D518BE">
        <w:rPr>
          <w:rStyle w:val="Style13ptBold"/>
        </w:rPr>
        <w:t xml:space="preserve"> </w:t>
      </w:r>
      <w:proofErr w:type="spellStart"/>
      <w:proofErr w:type="gramStart"/>
      <w:r w:rsidRPr="00D518BE">
        <w:rPr>
          <w:rStyle w:val="Style13ptBold"/>
        </w:rPr>
        <w:t>Ayotte</w:t>
      </w:r>
      <w:proofErr w:type="spellEnd"/>
      <w:r w:rsidRPr="00D518BE">
        <w:rPr>
          <w:rStyle w:val="Style13ptBold"/>
        </w:rPr>
        <w:t xml:space="preserve">  and</w:t>
      </w:r>
      <w:proofErr w:type="gramEnd"/>
      <w:r w:rsidRPr="00D518BE">
        <w:rPr>
          <w:rStyle w:val="Style13ptBold"/>
        </w:rPr>
        <w:t xml:space="preserve"> </w:t>
      </w:r>
      <w:r w:rsidRPr="00D518BE">
        <w:rPr>
          <w:rStyle w:val="Style13ptBold"/>
          <w:b w:val="0"/>
        </w:rPr>
        <w:t xml:space="preserve">Mary E. </w:t>
      </w:r>
      <w:r w:rsidRPr="00D518BE">
        <w:rPr>
          <w:rStyle w:val="Style13ptBold"/>
        </w:rPr>
        <w:t xml:space="preserve">Husain 2005 </w:t>
      </w:r>
      <w:r w:rsidRPr="00D518BE">
        <w:rPr>
          <w:rStyle w:val="Style13ptBold"/>
          <w:b w:val="0"/>
        </w:rPr>
        <w:t>(NWSA Journal, Vol. 17, No. 3, States of Insecurity and the Gendered Politics of Fear (Autumn, 2005), pp. 112-133)</w:t>
      </w:r>
    </w:p>
    <w:p w14:paraId="60F17442" w14:textId="77777777" w:rsidR="002B4247" w:rsidRPr="00D839F4" w:rsidRDefault="002B4247" w:rsidP="00D839F4">
      <w:r w:rsidRPr="00D839F4">
        <w:t>One of the most important advances in the history of feminism was the recognition of structural violence against women as a significant aspect of gender oppression. Structural violence includes the myriad material harms done to women through inadequate education and health care, exploitative employment conditions, endemic poverty, and other conditions that inflict damage on lives without the brute immediacy of physical violence. The analysis of structural violence is vital because it accounts for disadvantages that shorten or degrade women's lives and traces the sometimes convoluted causes to social, political, and economic structures. Rather than allowing these conditions to remain unexamined as a neutral part of the landscape, attention to structural violence imputes agency, and hence responsibility, to social, political, and economic actors for the maintenance of structural conditions that harm women.</w:t>
      </w:r>
      <w:r w:rsidR="00D518BE">
        <w:t xml:space="preserve"> </w:t>
      </w:r>
      <w:r w:rsidRPr="00D839F4">
        <w:t>Women in Afghanistan were subjected to structural violence long before, as well as during, the Taliban regime. Although the U.S. government certainly made use of representations of structural violence against Afghan women, the epistemic violence done to Afghan women by the</w:t>
      </w:r>
      <w:r w:rsidR="00D518BE">
        <w:t xml:space="preserve"> </w:t>
      </w:r>
      <w:r w:rsidRPr="00D839F4">
        <w:t xml:space="preserve">homogenized, neocolonial, and paternalistic rhetoric of the veil short-circuited any reflexive recognition </w:t>
      </w:r>
      <w:r w:rsidRPr="00D839F4">
        <w:lastRenderedPageBreak/>
        <w:t>of U.S. contributions to that self-same structural violence. As Abu-</w:t>
      </w:r>
      <w:proofErr w:type="spellStart"/>
      <w:r w:rsidRPr="00D839F4">
        <w:t>Lughod</w:t>
      </w:r>
      <w:proofErr w:type="spellEnd"/>
      <w:r w:rsidRPr="00D839F4">
        <w:t xml:space="preserve"> puts it, framing the oppression of women in Afghanistan as a problem caused solely by the Taliban's ruthless twisting of religion and culture "prevented the serious exploration of the roots and nature of human suffering in this part of the world" while "recreating an imaginative geography of West versus East, us versus [them] Muslims"</w:t>
      </w:r>
    </w:p>
    <w:p w14:paraId="2A06051C" w14:textId="77777777" w:rsidR="002B4247" w:rsidRPr="00D839F4" w:rsidRDefault="002B4247" w:rsidP="00D839F4"/>
    <w:p w14:paraId="43FEC3AF" w14:textId="77777777" w:rsidR="002B4247" w:rsidRPr="00D839F4" w:rsidRDefault="002B4247" w:rsidP="00D518BE">
      <w:pPr>
        <w:pStyle w:val="Heading3"/>
      </w:pPr>
      <w:bookmarkStart w:id="16" w:name="_Toc271701377"/>
      <w:r w:rsidRPr="00D839F4">
        <w:lastRenderedPageBreak/>
        <w:t>C3) Rejection of the mentality of the resolution is the first of many steps towards opening political discourse that will ultimately allow for difference to flourish and solvency of not only women’s rights but human rights.</w:t>
      </w:r>
      <w:bookmarkEnd w:id="16"/>
    </w:p>
    <w:p w14:paraId="1FA5F97A" w14:textId="77777777" w:rsidR="002B4247" w:rsidRPr="00D839F4" w:rsidRDefault="002B4247" w:rsidP="00D839F4"/>
    <w:p w14:paraId="3D607C30" w14:textId="77777777" w:rsidR="002B4247" w:rsidRPr="00D518BE" w:rsidRDefault="00576719" w:rsidP="00D839F4">
      <w:pPr>
        <w:rPr>
          <w:rStyle w:val="Style13ptBold"/>
        </w:rPr>
      </w:pPr>
      <w:hyperlink r:id="rId28" w:history="1">
        <w:r w:rsidR="002B4247" w:rsidRPr="00D518BE">
          <w:rPr>
            <w:rStyle w:val="Style13ptBold"/>
          </w:rPr>
          <w:t xml:space="preserve">Martinez, </w:t>
        </w:r>
        <w:r w:rsidR="002B4247" w:rsidRPr="00D518BE">
          <w:rPr>
            <w:rStyle w:val="Style13ptBold"/>
            <w:b w:val="0"/>
          </w:rPr>
          <w:t>Theresa</w:t>
        </w:r>
        <w:r w:rsidR="002B4247" w:rsidRPr="00D518BE">
          <w:rPr>
            <w:rStyle w:val="Style13ptBold"/>
          </w:rPr>
          <w:t xml:space="preserve"> 1999 </w:t>
        </w:r>
      </w:hyperlink>
      <w:r w:rsidR="00545A1F" w:rsidRPr="00D518BE">
        <w:rPr>
          <w:rStyle w:val="Style13ptBold"/>
          <w:b w:val="0"/>
        </w:rPr>
        <w:t>(</w:t>
      </w:r>
      <w:hyperlink r:id="rId29" w:history="1">
        <w:r w:rsidR="002B4247" w:rsidRPr="00D518BE">
          <w:rPr>
            <w:rStyle w:val="Style13ptBold"/>
            <w:b w:val="0"/>
          </w:rPr>
          <w:t>Race, Gender &amp; Class</w:t>
        </w:r>
        <w:r w:rsidR="002B4247" w:rsidRPr="00D518BE">
          <w:rPr>
            <w:rStyle w:val="Style13ptBold"/>
            <w:b w:val="0"/>
            <w:noProof/>
          </w:rPr>
          <w:drawing>
            <wp:inline distT="0" distB="0" distL="0" distR="0" wp14:anchorId="37989012" wp14:editId="72DBC632">
              <wp:extent cx="8890" cy="8890"/>
              <wp:effectExtent l="0" t="0" r="0" b="0"/>
              <wp:docPr id="2" name="Picture 2" descr="https://lh5.googleusercontent.com/ULnYbfMlEa__vfZhRbpy99xmDvM8x9ty34aNQEK3DoqZ2qzzwd8PhFcLJOevBCUyUCETOf21q9te_VG6VW0UO-7JTcYleRk7DEo6A___TMMzQi_bmcO_mxCYpjom0o3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LnYbfMlEa__vfZhRbpy99xmDvM8x9ty34aNQEK3DoqZ2qzzwd8PhFcLJOevBCUyUCETOf21q9te_VG6VW0UO-7JTcYleRk7DEo6A___TMMzQi_bmcO_mxCYpjom0o3LY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hyperlink>
      <w:hyperlink r:id="rId31" w:history="1">
        <w:r w:rsidR="002B4247" w:rsidRPr="00D518BE">
          <w:rPr>
            <w:rStyle w:val="Style13ptBold"/>
            <w:b w:val="0"/>
          </w:rPr>
          <w:t>6.3</w:t>
        </w:r>
        <w:r w:rsidR="002B4247" w:rsidRPr="00D518BE">
          <w:rPr>
            <w:rStyle w:val="Style13ptBold"/>
            <w:b w:val="0"/>
            <w:noProof/>
          </w:rPr>
          <w:drawing>
            <wp:inline distT="0" distB="0" distL="0" distR="0" wp14:anchorId="744F6D30" wp14:editId="261CC28D">
              <wp:extent cx="8890" cy="8890"/>
              <wp:effectExtent l="0" t="0" r="0" b="0"/>
              <wp:docPr id="1" name="Picture 1" descr="https://lh6.googleusercontent.com/ZIDJClPFDjjvYsZSl4p6XGYTbD_GbQMlUlHeHiiW9T4f5E_5Q1HAjxI_jlY5c4hM-xjDwcgjK0f3Beh84_HPgBp4sM0IFlKgTSH32T0rvOGK4qWFFlahCMU2QqUANfl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IDJClPFDjjvYsZSl4p6XGYTbD_GbQMlUlHeHiiW9T4f5E_5Q1HAjxI_jlY5c4hM-xjDwcgjK0f3Beh84_HPgBp4sM0IFlKgTSH32T0rvOGK4qWFFlahCMU2QqUANfltA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hyperlink>
      <w:r w:rsidR="002B4247" w:rsidRPr="00D518BE">
        <w:rPr>
          <w:rStyle w:val="Style13ptBold"/>
          <w:b w:val="0"/>
        </w:rPr>
        <w:t xml:space="preserve"> (Jul 31, 1999): 33.</w:t>
      </w:r>
      <w:r w:rsidR="00545A1F" w:rsidRPr="00D518BE">
        <w:rPr>
          <w:rStyle w:val="Style13ptBold"/>
          <w:b w:val="0"/>
        </w:rPr>
        <w:t xml:space="preserve"> </w:t>
      </w:r>
      <w:r w:rsidR="002B4247" w:rsidRPr="00D518BE">
        <w:rPr>
          <w:rStyle w:val="Style13ptBold"/>
          <w:b w:val="0"/>
        </w:rPr>
        <w:t>Storytelling As Oppositional Culture: Race, Class, And Gender In The Borderlands</w:t>
      </w:r>
      <w:r w:rsidR="00545A1F" w:rsidRPr="00D518BE">
        <w:rPr>
          <w:rStyle w:val="Style13ptBold"/>
          <w:b w:val="0"/>
        </w:rPr>
        <w:t>)</w:t>
      </w:r>
    </w:p>
    <w:p w14:paraId="39890020" w14:textId="77777777" w:rsidR="002B4247" w:rsidRPr="00D839F4" w:rsidRDefault="002B4247" w:rsidP="00D839F4">
      <w:r w:rsidRPr="00D839F4">
        <w:t>The matrix of domination "contains few pure victims or oppressors. Each individual derives varying amounts of penalty and privilege from the multiple systems of oppression which frame everyone's lives" (1991:229). Further, resistance or empowerment must start with the self and must involve "rejecting the dimensions of knowledge, whether personal, cultural, or institutional, that perpetuate objectification and dehumanization...subordinated groups become empowered when we understand and use those dimensions of our individual, group, and disciplinary ways of knowing that foster our humanity as fully human subjects" (1991:230). Ultimately, for Collins, "[</w:t>
      </w:r>
      <w:proofErr w:type="gramStart"/>
      <w:r w:rsidRPr="00D839F4">
        <w:t>u]sing</w:t>
      </w:r>
      <w:proofErr w:type="gramEnd"/>
      <w:r w:rsidRPr="00D839F4">
        <w:t xml:space="preserve"> one's standpoint to engage the sociological imagination can empower the individual...One key reason that standpoints of oppressed groups are suppressed is that self-defined standpoints can stimulate resistance" (Collins 1991:230,28).</w:t>
      </w:r>
    </w:p>
    <w:p w14:paraId="57D6986D" w14:textId="77777777" w:rsidR="002B4247" w:rsidRPr="00D839F4" w:rsidRDefault="002B4247" w:rsidP="00D839F4"/>
    <w:p w14:paraId="5EA26E67" w14:textId="77777777" w:rsidR="002B4247" w:rsidRPr="00D839F4" w:rsidRDefault="002B4247" w:rsidP="00D518BE">
      <w:pPr>
        <w:pStyle w:val="Heading1"/>
      </w:pPr>
      <w:bookmarkStart w:id="17" w:name="_Toc271701378"/>
      <w:r w:rsidRPr="00D839F4">
        <w:lastRenderedPageBreak/>
        <w:t>Blocks</w:t>
      </w:r>
      <w:bookmarkEnd w:id="17"/>
    </w:p>
    <w:p w14:paraId="18725956" w14:textId="77777777" w:rsidR="00D518BE" w:rsidRDefault="00D518BE" w:rsidP="00D518BE">
      <w:pPr>
        <w:pStyle w:val="Heading3"/>
      </w:pPr>
      <w:bookmarkStart w:id="18" w:name="_Toc271701379"/>
      <w:r>
        <w:lastRenderedPageBreak/>
        <w:t>Impact</w:t>
      </w:r>
      <w:bookmarkEnd w:id="18"/>
    </w:p>
    <w:p w14:paraId="75D9EBA4" w14:textId="77777777" w:rsidR="002B4247" w:rsidRPr="00D839F4" w:rsidRDefault="002B4247" w:rsidP="00D518BE">
      <w:pPr>
        <w:pStyle w:val="Heading4"/>
      </w:pPr>
      <w:r w:rsidRPr="00D839F4">
        <w:t>Epistemological violence</w:t>
      </w:r>
    </w:p>
    <w:p w14:paraId="4431E3A5" w14:textId="77777777" w:rsidR="002B4247" w:rsidRPr="00D518BE" w:rsidRDefault="002B4247" w:rsidP="00D839F4">
      <w:pPr>
        <w:rPr>
          <w:rStyle w:val="Style13ptBold"/>
        </w:rPr>
      </w:pPr>
      <w:r w:rsidRPr="00D518BE">
        <w:rPr>
          <w:rStyle w:val="Style13ptBold"/>
          <w:b w:val="0"/>
        </w:rPr>
        <w:t>Walter D.</w:t>
      </w:r>
      <w:r w:rsidRPr="00D518BE">
        <w:rPr>
          <w:rStyle w:val="Style13ptBold"/>
        </w:rPr>
        <w:t xml:space="preserve"> </w:t>
      </w:r>
      <w:proofErr w:type="spellStart"/>
      <w:r w:rsidRPr="00D518BE">
        <w:rPr>
          <w:rStyle w:val="Style13ptBold"/>
        </w:rPr>
        <w:t>Mignolo</w:t>
      </w:r>
      <w:proofErr w:type="spellEnd"/>
      <w:r w:rsidRPr="00D518BE">
        <w:rPr>
          <w:rStyle w:val="Style13ptBold"/>
        </w:rPr>
        <w:t xml:space="preserve"> 09</w:t>
      </w:r>
      <w:r w:rsidRPr="00D518BE">
        <w:rPr>
          <w:rStyle w:val="Style13ptBold"/>
          <w:b w:val="0"/>
        </w:rPr>
        <w:t xml:space="preserve">, Epistemic Disobedience, Independent Thought and </w:t>
      </w:r>
      <w:proofErr w:type="spellStart"/>
      <w:r w:rsidRPr="00D518BE">
        <w:rPr>
          <w:rStyle w:val="Style13ptBold"/>
          <w:b w:val="0"/>
        </w:rPr>
        <w:t>Decolonial</w:t>
      </w:r>
      <w:proofErr w:type="spellEnd"/>
      <w:r w:rsidRPr="00D518BE">
        <w:rPr>
          <w:rStyle w:val="Style13ptBold"/>
          <w:b w:val="0"/>
        </w:rPr>
        <w:t xml:space="preserve"> Freedom, Theory and Culture 2009, published 2009]</w:t>
      </w:r>
    </w:p>
    <w:p w14:paraId="48F70E87" w14:textId="77777777" w:rsidR="002B4247" w:rsidRPr="00D839F4" w:rsidRDefault="002B4247" w:rsidP="00D839F4">
      <w:r w:rsidRPr="00D839F4">
        <w:t xml:space="preserve">Once upon a time scholars assumed that the knowing subject in the disciplines is transparent, </w:t>
      </w:r>
      <w:proofErr w:type="spellStart"/>
      <w:r w:rsidRPr="00D839F4">
        <w:t>disincorporated</w:t>
      </w:r>
      <w:proofErr w:type="spellEnd"/>
      <w:r w:rsidRPr="00D839F4">
        <w:t xml:space="preserve"> from the known and untouched by the geo-political configuration of the world in which people are racially ranked and regions are racially configured. From a detached and neutral point of observation (that Colombian philosopher Santiago Castro-Gómez (2007) describes as the hubris of the zero point), the knowing subject maps the world and its problems, classifies people and projects into what is good for them. Today that assumption is no longer tenable, although there are still many believers. At stake is indeed the question of racism and epistemology (</w:t>
      </w:r>
      <w:proofErr w:type="spellStart"/>
      <w:r w:rsidRPr="00D839F4">
        <w:t>Chukwudi</w:t>
      </w:r>
      <w:proofErr w:type="spellEnd"/>
      <w:r w:rsidRPr="00D839F4">
        <w:t xml:space="preserve"> </w:t>
      </w:r>
      <w:proofErr w:type="spellStart"/>
      <w:r w:rsidRPr="00D839F4">
        <w:t>Eze</w:t>
      </w:r>
      <w:proofErr w:type="spellEnd"/>
      <w:r w:rsidRPr="00D839F4">
        <w:t xml:space="preserve">, 1997; </w:t>
      </w:r>
      <w:proofErr w:type="spellStart"/>
      <w:r w:rsidRPr="00D839F4">
        <w:t>Mignolo</w:t>
      </w:r>
      <w:proofErr w:type="spellEnd"/>
      <w:r w:rsidRPr="00D839F4">
        <w:t xml:space="preserve">, forthcoming). And once upon a time scholars assumed that if you ‘come’ from Latin America you have to ‘talk about’ Latin America; that in such a case you have to be a token of your culture. Such expectation will not arise if the author ‘comes’ from Germany, France, England or the US. In such cases it is not assumed that you have to be talking about your culture but can function as a theoretically minded person. As we know: the first world has knowledge, the third world has culture; Native Americans have wisdom, Anglo Americans have science. The need for political and epistemic delinking here comes to the fore, as well as </w:t>
      </w:r>
      <w:proofErr w:type="spellStart"/>
      <w:r w:rsidRPr="00D839F4">
        <w:t>decolonializing</w:t>
      </w:r>
      <w:proofErr w:type="spellEnd"/>
      <w:r w:rsidRPr="00D839F4">
        <w:t xml:space="preserve"> and de-colonial </w:t>
      </w:r>
      <w:proofErr w:type="spellStart"/>
      <w:r w:rsidRPr="00D839F4">
        <w:t>knowledges</w:t>
      </w:r>
      <w:proofErr w:type="spellEnd"/>
      <w:r w:rsidRPr="00D839F4">
        <w:t xml:space="preserve">, are necessary steps for imagining and building democratic, just, and non-imperial/colonial societies. </w:t>
      </w:r>
    </w:p>
    <w:p w14:paraId="48F525DD" w14:textId="77777777" w:rsidR="002B4247" w:rsidRPr="00D839F4" w:rsidRDefault="002B4247" w:rsidP="00D518BE">
      <w:pPr>
        <w:pStyle w:val="Heading3"/>
      </w:pPr>
      <w:bookmarkStart w:id="19" w:name="_Toc271701380"/>
      <w:r w:rsidRPr="00D839F4">
        <w:lastRenderedPageBreak/>
        <w:t>Link</w:t>
      </w:r>
      <w:bookmarkEnd w:id="19"/>
    </w:p>
    <w:p w14:paraId="7FBA5A6F" w14:textId="77777777" w:rsidR="002B4247" w:rsidRPr="00D839F4" w:rsidRDefault="002B4247" w:rsidP="00D518BE">
      <w:pPr>
        <w:pStyle w:val="Heading4"/>
      </w:pPr>
      <w:r w:rsidRPr="00D839F4">
        <w:t>To say that Western feminism promotes human rights is a false ideology</w:t>
      </w:r>
    </w:p>
    <w:p w14:paraId="2B2C5BA5" w14:textId="77777777" w:rsidR="002B4247" w:rsidRPr="00D518BE" w:rsidRDefault="002B4247" w:rsidP="00D839F4">
      <w:pPr>
        <w:rPr>
          <w:rStyle w:val="Style13ptBold"/>
        </w:rPr>
      </w:pPr>
      <w:r w:rsidRPr="00D518BE">
        <w:rPr>
          <w:rStyle w:val="Style13ptBold"/>
          <w:b w:val="0"/>
        </w:rPr>
        <w:t>Niamh</w:t>
      </w:r>
      <w:r w:rsidRPr="00D518BE">
        <w:rPr>
          <w:rStyle w:val="Style13ptBold"/>
        </w:rPr>
        <w:t xml:space="preserve"> Reilly 11 </w:t>
      </w:r>
      <w:r w:rsidRPr="00D518BE">
        <w:rPr>
          <w:rStyle w:val="Style13ptBold"/>
          <w:b w:val="0"/>
        </w:rPr>
        <w:t xml:space="preserve">Doing transnational feminism, transforming human right: the emancipatory possibilities revisited. </w:t>
      </w:r>
      <w:proofErr w:type="gramStart"/>
      <w:r w:rsidRPr="00D518BE">
        <w:rPr>
          <w:rStyle w:val="Style13ptBold"/>
          <w:b w:val="0"/>
        </w:rPr>
        <w:t>School of Political Science and Sociology, National University of Ireland, Galway.</w:t>
      </w:r>
      <w:proofErr w:type="gramEnd"/>
      <w:r w:rsidRPr="00D518BE">
        <w:rPr>
          <w:rStyle w:val="Style13ptBold"/>
          <w:b w:val="0"/>
        </w:rPr>
        <w:t xml:space="preserve"> © Copyright Irish Journal of Sociology ISSN 0791 6035 Vol. 19.2, 2011, pp. 60–76</w:t>
      </w:r>
    </w:p>
    <w:p w14:paraId="5FC4A494" w14:textId="77777777" w:rsidR="002B4247" w:rsidRPr="00D839F4" w:rsidRDefault="002B4247" w:rsidP="00D839F4">
      <w:r w:rsidRPr="00D839F4">
        <w:t xml:space="preserve">The notion that ‘women’s human rights’ are ‘Western feminist’ constructs is widely held and reproduced in everyday discourses and in most academic accounts. While not a new phenomenon, in a post-9/11 global environment, </w:t>
      </w:r>
      <w:proofErr w:type="gramStart"/>
      <w:r w:rsidRPr="00D839F4">
        <w:t>The</w:t>
      </w:r>
      <w:proofErr w:type="gramEnd"/>
      <w:r w:rsidRPr="00D839F4">
        <w:t xml:space="preserve"> hegemonic appropriations of women’s human rights rhetoric has taken increasingly egregious forms. The </w:t>
      </w:r>
      <w:proofErr w:type="spellStart"/>
      <w:r w:rsidRPr="00D839F4">
        <w:t>defence</w:t>
      </w:r>
      <w:proofErr w:type="spellEnd"/>
      <w:r w:rsidRPr="00D839F4">
        <w:t xml:space="preserve"> of ‘women’s human rights’ has been used instrumentally to justify military invasions of Afghanistan and Iraq, and to engender moral panic around the presence of Islam ‘in the West’, culminating in some cases in the prohibition of forms of culture, in Muslim women’s dress in a number of European jurisdictions </w:t>
      </w:r>
    </w:p>
    <w:p w14:paraId="15EAA13A" w14:textId="77777777" w:rsidR="002B4247" w:rsidRPr="00D839F4" w:rsidRDefault="002B4247" w:rsidP="00D518BE">
      <w:pPr>
        <w:pStyle w:val="Heading4"/>
      </w:pPr>
      <w:r w:rsidRPr="00D839F4">
        <w:t xml:space="preserve">Coercion is not justified to even decrease the net violation of rights. </w:t>
      </w:r>
    </w:p>
    <w:p w14:paraId="6537F147" w14:textId="77777777" w:rsidR="002B4247" w:rsidRPr="00D518BE" w:rsidRDefault="002B4247" w:rsidP="00D839F4">
      <w:pPr>
        <w:rPr>
          <w:rStyle w:val="Style13ptBold"/>
        </w:rPr>
      </w:pPr>
      <w:proofErr w:type="spellStart"/>
      <w:r w:rsidRPr="00D518BE">
        <w:rPr>
          <w:rStyle w:val="Style13ptBold"/>
        </w:rPr>
        <w:t>Pilon</w:t>
      </w:r>
      <w:proofErr w:type="spellEnd"/>
      <w:r w:rsidRPr="00D518BE">
        <w:rPr>
          <w:rStyle w:val="Style13ptBold"/>
        </w:rPr>
        <w:t xml:space="preserve">, </w:t>
      </w:r>
      <w:r w:rsidR="00D518BE">
        <w:rPr>
          <w:rStyle w:val="Style13ptBold"/>
        </w:rPr>
        <w:t>0</w:t>
      </w:r>
      <w:r w:rsidRPr="00D518BE">
        <w:rPr>
          <w:rStyle w:val="Style13ptBold"/>
        </w:rPr>
        <w:t xml:space="preserve">1 </w:t>
      </w:r>
      <w:r w:rsidRPr="00D518BE">
        <w:rPr>
          <w:rStyle w:val="Style13ptBold"/>
          <w:b w:val="0"/>
        </w:rPr>
        <w:t xml:space="preserve">(Roger, Vice President for Legal Affairs and Director of the Center for Constitutional Studies at the Cato Institute, “Two Kinds of Rights,” 12-6-2001, </w:t>
      </w:r>
      <w:hyperlink r:id="rId32" w:history="1">
        <w:r w:rsidRPr="00D518BE">
          <w:rPr>
            <w:rStyle w:val="Style13ptBold"/>
            <w:b w:val="0"/>
          </w:rPr>
          <w:t>www.cato.org/current/terrorism/pubs/pilon-011206.html</w:t>
        </w:r>
      </w:hyperlink>
      <w:r w:rsidRPr="00D518BE">
        <w:rPr>
          <w:rStyle w:val="Style13ptBold"/>
          <w:b w:val="0"/>
        </w:rPr>
        <w:t>, JMP)</w:t>
      </w:r>
    </w:p>
    <w:p w14:paraId="2E302E60" w14:textId="77777777" w:rsidR="002B4247" w:rsidRPr="00D839F4" w:rsidRDefault="002B4247" w:rsidP="00D839F4">
      <w:r w:rsidRPr="00D839F4">
        <w:t>As the Declaration of Independence says, the main business of government is to secure rights, but legitimate government can't do it by any means. It can't violate rights in the name of securing them. That frames the issue. Between those boundaries—and given a world of uncertainty—the devil is in the details. Governments too restrained leave rights exposed. By contrast, societies that trade liberty for security, as Ben Franklin noted, end often with neither.</w:t>
      </w:r>
    </w:p>
    <w:p w14:paraId="096FDCD7" w14:textId="77777777" w:rsidR="002B4247" w:rsidRPr="00D839F4" w:rsidRDefault="002B4247" w:rsidP="00D518BE">
      <w:pPr>
        <w:pStyle w:val="Heading3"/>
      </w:pPr>
      <w:bookmarkStart w:id="20" w:name="_Toc271701381"/>
      <w:r w:rsidRPr="00D839F4">
        <w:lastRenderedPageBreak/>
        <w:t>Reject the Resolution because it has a Western Mindset</w:t>
      </w:r>
      <w:bookmarkEnd w:id="20"/>
    </w:p>
    <w:p w14:paraId="2377CDEB" w14:textId="77777777" w:rsidR="002B4247" w:rsidRPr="00D839F4" w:rsidRDefault="002B4247" w:rsidP="00D518BE">
      <w:pPr>
        <w:pStyle w:val="Heading4"/>
      </w:pPr>
      <w:r w:rsidRPr="00D839F4">
        <w:t xml:space="preserve">We only want to unsure </w:t>
      </w:r>
      <w:proofErr w:type="spellStart"/>
      <w:r w:rsidRPr="00D839F4">
        <w:t>womens</w:t>
      </w:r>
      <w:proofErr w:type="spellEnd"/>
      <w:r w:rsidRPr="00D839F4">
        <w:t xml:space="preserve"> rights to gain economically from the development of the country</w:t>
      </w:r>
    </w:p>
    <w:p w14:paraId="4623717C" w14:textId="77777777" w:rsidR="002B4247" w:rsidRPr="00D518BE" w:rsidRDefault="002B4247" w:rsidP="00D839F4">
      <w:pPr>
        <w:rPr>
          <w:rStyle w:val="Style13ptBold"/>
        </w:rPr>
      </w:pPr>
      <w:r w:rsidRPr="00D518BE">
        <w:rPr>
          <w:rStyle w:val="Style13ptBold"/>
        </w:rPr>
        <w:t>Escobar 12</w:t>
      </w:r>
      <w:r w:rsidR="00D518BE" w:rsidRPr="00D518BE">
        <w:rPr>
          <w:rStyle w:val="Style13ptBold"/>
        </w:rPr>
        <w:t xml:space="preserve"> </w:t>
      </w:r>
      <w:r w:rsidRPr="00D518BE">
        <w:rPr>
          <w:rStyle w:val="Style13ptBold"/>
          <w:b w:val="0"/>
        </w:rPr>
        <w:t xml:space="preserve">(Arturo Escobar, Kenan distinguished prof. of Anthropology at the University of North Carolina, Chapel Hill. From the book “Encountering Development: The Making and Unmaking of the Third World. Originally published in 1995, this card is from the new edition with a new introduction and minor updates/revisions in 2012. PP. 35-39.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58C575F7" w14:textId="77777777" w:rsidR="002B4247" w:rsidRPr="00D839F4" w:rsidRDefault="002B4247" w:rsidP="00D839F4">
      <w:r w:rsidRPr="00D839F4">
        <w:t>The unquestioned desirability of economic growth was, in this way, closely linked to the revitalized faith in science and technology. Economic growth presupposed the existence of a continuum stretching from poor to rich countries, which would allow for the replication in the poor countries of those conditions characteristic of mature capitalist ones (including industrialization, urbanization, agricultural modernization, infrastructure, increased provision of social services, and high levels of literacy). Development was seen as the process of transition from one situation to the other. This notion conferred upon the processes of accumulation and development a progressive, orderly, and stable character that would culminate, in the late 1950s and early 1960s, in modernization and "stages of economic growth" theories (</w:t>
      </w:r>
      <w:proofErr w:type="spellStart"/>
      <w:r w:rsidRPr="00D839F4">
        <w:t>Rostow</w:t>
      </w:r>
      <w:proofErr w:type="spellEnd"/>
      <w:r w:rsidRPr="00D839F4">
        <w:t xml:space="preserve"> 1960).</w:t>
      </w:r>
    </w:p>
    <w:p w14:paraId="2A4B6F5B" w14:textId="77777777" w:rsidR="002B4247" w:rsidRPr="00D839F4" w:rsidRDefault="002B4247" w:rsidP="00D839F4"/>
    <w:p w14:paraId="2AFBBBBE" w14:textId="77777777" w:rsidR="002B4247" w:rsidRPr="00D839F4" w:rsidRDefault="002B4247" w:rsidP="00D518BE">
      <w:pPr>
        <w:pStyle w:val="Heading4"/>
      </w:pPr>
      <w:r w:rsidRPr="00D839F4">
        <w:t>US Has Destroyed Cultures in the Name of Human Rights</w:t>
      </w:r>
    </w:p>
    <w:p w14:paraId="165E3F05" w14:textId="77777777" w:rsidR="002B4247" w:rsidRPr="00D518BE" w:rsidRDefault="002B4247" w:rsidP="00D839F4">
      <w:proofErr w:type="spellStart"/>
      <w:r w:rsidRPr="00D518BE">
        <w:rPr>
          <w:b/>
        </w:rPr>
        <w:t>Parenti</w:t>
      </w:r>
      <w:proofErr w:type="spellEnd"/>
      <w:r w:rsidRPr="00D518BE">
        <w:rPr>
          <w:b/>
        </w:rPr>
        <w:t xml:space="preserve"> 95</w:t>
      </w:r>
      <w:r w:rsidR="00D518BE" w:rsidRPr="00D518BE">
        <w:rPr>
          <w:b/>
        </w:rPr>
        <w:t xml:space="preserve"> </w:t>
      </w:r>
      <w:r w:rsidRPr="00D518BE">
        <w:t xml:space="preserve">(Michael </w:t>
      </w:r>
      <w:proofErr w:type="spellStart"/>
      <w:r w:rsidRPr="00D518BE">
        <w:t>Parenti</w:t>
      </w:r>
      <w:proofErr w:type="spellEnd"/>
      <w:r w:rsidRPr="00D518BE">
        <w:t xml:space="preserve">, Ph.D. from Yale in </w:t>
      </w:r>
      <w:proofErr w:type="spellStart"/>
      <w:r w:rsidRPr="00D518BE">
        <w:t>poli</w:t>
      </w:r>
      <w:proofErr w:type="spellEnd"/>
      <w:r w:rsidRPr="00D518BE">
        <w:t xml:space="preserve"> </w:t>
      </w:r>
      <w:proofErr w:type="spellStart"/>
      <w:r w:rsidRPr="00D518BE">
        <w:t>sci</w:t>
      </w:r>
      <w:proofErr w:type="spellEnd"/>
      <w:r w:rsidRPr="00D518BE">
        <w:t xml:space="preserve">, prolific author and activist. </w:t>
      </w:r>
      <w:proofErr w:type="gramStart"/>
      <w:r w:rsidRPr="00D518BE">
        <w:t>From the book “Against Empire”.</w:t>
      </w:r>
      <w:proofErr w:type="gramEnd"/>
      <w:r w:rsidRPr="00D518BE">
        <w:t xml:space="preserve"> PP. 119-120. </w:t>
      </w:r>
      <w:proofErr w:type="spellStart"/>
      <w:r w:rsidRPr="00D518BE">
        <w:t>OCRed</w:t>
      </w:r>
      <w:proofErr w:type="spellEnd"/>
      <w:r w:rsidRPr="00D518BE">
        <w:t xml:space="preserve"> from the original, minor textual errors may exist.)</w:t>
      </w:r>
    </w:p>
    <w:p w14:paraId="38A451DF" w14:textId="77777777" w:rsidR="002B4247" w:rsidRPr="00D839F4" w:rsidRDefault="002B4247" w:rsidP="00D839F4">
      <w:r w:rsidRPr="00D839F4">
        <w:t xml:space="preserve">Contrary to popular belief, the United States is no different from most other countries in that it does not have a particularly impressive humanitarian record. True, many nations, including our own, have sent relief abroad in response to particular crises. But these actions do not represent essential foreign policy commitments. They occur sporadically, are limited in scope, and obscure the many occasions when governments choose to do absolutely nothing for other countries in desperate straits. Most US. </w:t>
      </w:r>
      <w:proofErr w:type="gramStart"/>
      <w:r w:rsidRPr="00D839F4">
        <w:t>aid</w:t>
      </w:r>
      <w:proofErr w:type="gramEnd"/>
      <w:r w:rsidRPr="00D839F4">
        <w:t xml:space="preserve"> missions serve as pretexts for hidden political goals, namely, to bolster conservative regimes, build infrastructures that assist big investors, lend an aura of legitimacy to counterinsurgency programs, and undermine local agrarian self-sufficiency while promoting US. </w:t>
      </w:r>
      <w:proofErr w:type="gramStart"/>
      <w:r w:rsidRPr="00D839F4">
        <w:t>agribusiness</w:t>
      </w:r>
      <w:proofErr w:type="gramEnd"/>
      <w:r w:rsidRPr="00D839F4">
        <w:t xml:space="preserve">. There have been memorable occasions when US. </w:t>
      </w:r>
      <w:proofErr w:type="gramStart"/>
      <w:r w:rsidRPr="00D839F4">
        <w:t>officials</w:t>
      </w:r>
      <w:proofErr w:type="gramEnd"/>
      <w:r w:rsidRPr="00D839F4">
        <w:t xml:space="preserve"> showed themselves to be anything but humanitarian. Consider the Holocaust. The Roosevelt administration did virtually nothing to accommodate tens of thousands of Jews who sought to escape extermination at the hands of the Nazis. Washington refused to ease its restrictive immigration quotas and would not even fill the limited number of slots allotted to Jews. US. </w:t>
      </w:r>
      <w:proofErr w:type="gramStart"/>
      <w:r w:rsidRPr="00D839F4">
        <w:t>officials</w:t>
      </w:r>
      <w:proofErr w:type="gramEnd"/>
      <w:r w:rsidRPr="00D839F4">
        <w:t xml:space="preserve"> even went so far as to persuade Latin American governments to close their doors to European immigration. Consider South Africa. For decades Washington did nothing to discourage that white racist-dominated country from inflicting misery and death upon its African population. US. </w:t>
      </w:r>
      <w:proofErr w:type="gramStart"/>
      <w:r w:rsidRPr="00D839F4">
        <w:t>leaders</w:t>
      </w:r>
      <w:proofErr w:type="gramEnd"/>
      <w:r w:rsidRPr="00D839F4">
        <w:t xml:space="preserve"> preferred to maintain trade and investment relations with the apartheid regime. It lifted not a single humanitarian finger to stop the West Pakistani massacre of East Pakistan (later renamed Bangladesh). It was more concerned with preventing India and the Soviet Union from extending their influence in the region. </w:t>
      </w:r>
      <w:proofErr w:type="gramStart"/>
      <w:r w:rsidRPr="00D839F4">
        <w:t>In the 1980s, the US.</w:t>
      </w:r>
      <w:proofErr w:type="gramEnd"/>
      <w:r w:rsidRPr="00D839F4">
        <w:t xml:space="preserve"> </w:t>
      </w:r>
      <w:proofErr w:type="gramStart"/>
      <w:r w:rsidRPr="00D839F4">
        <w:t>national</w:t>
      </w:r>
      <w:proofErr w:type="gramEnd"/>
      <w:r w:rsidRPr="00D839F4">
        <w:t xml:space="preserve"> security state quietly assisted the Khmer Rouge in their campaigns of </w:t>
      </w:r>
      <w:r w:rsidRPr="00D839F4">
        <w:lastRenderedPageBreak/>
        <w:t xml:space="preserve">mayhem and murder, using them as a destabilizing force against the socialist government in Cambodia. Be it the indigenous rain forest peoples of South America and Southeast Asia, or the Kurds, </w:t>
      </w:r>
      <w:proofErr w:type="spellStart"/>
      <w:r w:rsidRPr="00D839F4">
        <w:t>Biafrans</w:t>
      </w:r>
      <w:proofErr w:type="spellEnd"/>
      <w:r w:rsidRPr="00D839F4">
        <w:t>, or Palestinians, be it overseas Chinese in Indonesia, East Timorese, Angolans, Mozambicans, Guatemalans, Salvadorans, or dozens of other peoples, the United States has done little to help rescue them from their terrible plights, and in most instances has done much to assist their oppressors.</w:t>
      </w:r>
    </w:p>
    <w:p w14:paraId="12E5B48D" w14:textId="77777777" w:rsidR="002B4247" w:rsidRPr="00D839F4" w:rsidRDefault="002B4247" w:rsidP="00D839F4"/>
    <w:p w14:paraId="114C4537" w14:textId="77777777" w:rsidR="002B4247" w:rsidRPr="00D839F4" w:rsidRDefault="002B4247" w:rsidP="00D518BE">
      <w:pPr>
        <w:pStyle w:val="Heading4"/>
      </w:pPr>
      <w:r w:rsidRPr="00D839F4">
        <w:t>Humanitarian Aid Does Not Mean Progress</w:t>
      </w:r>
    </w:p>
    <w:p w14:paraId="3608071A" w14:textId="77777777" w:rsidR="002B4247" w:rsidRPr="00D518BE" w:rsidRDefault="002B4247" w:rsidP="00D839F4">
      <w:pPr>
        <w:rPr>
          <w:rStyle w:val="Style13ptBold"/>
        </w:rPr>
      </w:pPr>
      <w:r w:rsidRPr="00D518BE">
        <w:rPr>
          <w:rStyle w:val="Style13ptBold"/>
        </w:rPr>
        <w:t xml:space="preserve">(Georgia Tech, Model United Nations </w:t>
      </w:r>
      <w:proofErr w:type="spellStart"/>
      <w:r w:rsidRPr="00D518BE">
        <w:rPr>
          <w:rStyle w:val="Style13ptBold"/>
        </w:rPr>
        <w:t>Confrence</w:t>
      </w:r>
      <w:proofErr w:type="spellEnd"/>
      <w:r w:rsidRPr="00D518BE">
        <w:rPr>
          <w:rStyle w:val="Style13ptBold"/>
        </w:rPr>
        <w:t>, Sam Nunn School of International Affairs, 17 – 18 October 2011)</w:t>
      </w:r>
    </w:p>
    <w:p w14:paraId="6D054C28" w14:textId="77777777" w:rsidR="002B4247" w:rsidRPr="00D839F4" w:rsidRDefault="002B4247" w:rsidP="00D839F4">
      <w:r w:rsidRPr="00D839F4">
        <w:t>Humanitarian assistance had long implied the potential of forceful intervention. International responsibility for the protection of human rights and alleviation of human suffering led to the development of international institutions, including the multinational United Nations. The development of international law, from the Geneva conventions to the response to the Holocaust at Nuremberg and the UN Declaration of Universal Rights increasingly reflected the idea that the international community could hold individuals and nations responsible for violations of human rights. Still, what this meant in practice was not clear, and the United Nations was based on respect for national sovereignty. So despite some precedents for humanitarian intervention, the notion that states could intervene in other nations' affairs to protect human rights was not pursued with great vigor until after the Cold War had ended. Still, Cold War competition led to numerous interventions by the United States and the Soviet Union. Since the Cold War was not only a strategic contest but also an ideological one, each side felt compelled to proclaim the moral basis for their actions, resulting in dubious claims that such interventions as that of the Soviet Union in Hungary in 1956 and Czechoslovakia in 1968, and that of the United States in the Dominican Republic in 1965 and Grenada in 1983, were for humanitarian purposes.</w:t>
      </w:r>
    </w:p>
    <w:p w14:paraId="7F4780F4" w14:textId="77777777" w:rsidR="002B4247" w:rsidRPr="00D839F4" w:rsidRDefault="002B4247" w:rsidP="00D518BE">
      <w:pPr>
        <w:pStyle w:val="Heading3"/>
      </w:pPr>
      <w:bookmarkStart w:id="21" w:name="_Toc271701382"/>
      <w:r w:rsidRPr="00D839F4">
        <w:lastRenderedPageBreak/>
        <w:t>The resolution is dehumanizing</w:t>
      </w:r>
      <w:bookmarkEnd w:id="21"/>
    </w:p>
    <w:p w14:paraId="752B1C87" w14:textId="77777777" w:rsidR="002B4247" w:rsidRPr="00D839F4" w:rsidRDefault="002B4247" w:rsidP="00D518BE">
      <w:pPr>
        <w:pStyle w:val="Heading4"/>
      </w:pPr>
      <w:r w:rsidRPr="00D839F4">
        <w:t>The only reason we are discussing this is because US is afraid of communism</w:t>
      </w:r>
    </w:p>
    <w:p w14:paraId="11F26C0B" w14:textId="77777777" w:rsidR="002B4247" w:rsidRPr="00D518BE" w:rsidRDefault="002B4247" w:rsidP="00D839F4">
      <w:pPr>
        <w:rPr>
          <w:rStyle w:val="Style13ptBold"/>
        </w:rPr>
      </w:pPr>
      <w:proofErr w:type="spellStart"/>
      <w:r w:rsidRPr="00D518BE">
        <w:rPr>
          <w:rStyle w:val="Style13ptBold"/>
        </w:rPr>
        <w:t>Parenti</w:t>
      </w:r>
      <w:proofErr w:type="spellEnd"/>
      <w:r w:rsidRPr="00D518BE">
        <w:rPr>
          <w:rStyle w:val="Style13ptBold"/>
        </w:rPr>
        <w:t xml:space="preserve"> 95</w:t>
      </w:r>
      <w:r w:rsidR="00D518BE" w:rsidRPr="00D518BE">
        <w:rPr>
          <w:rStyle w:val="Style13ptBold"/>
        </w:rPr>
        <w:t xml:space="preserve"> </w:t>
      </w:r>
      <w:r w:rsidRPr="00D518BE">
        <w:rPr>
          <w:rStyle w:val="Style13ptBold"/>
          <w:b w:val="0"/>
        </w:rPr>
        <w:t xml:space="preserve">(Michael </w:t>
      </w:r>
      <w:proofErr w:type="spellStart"/>
      <w:r w:rsidRPr="00D518BE">
        <w:rPr>
          <w:rStyle w:val="Style13ptBold"/>
          <w:b w:val="0"/>
        </w:rPr>
        <w:t>Parenti</w:t>
      </w:r>
      <w:proofErr w:type="spellEnd"/>
      <w:r w:rsidRPr="00D518BE">
        <w:rPr>
          <w:rStyle w:val="Style13ptBold"/>
          <w:b w:val="0"/>
        </w:rPr>
        <w:t xml:space="preserve">, Ph.D. from Yale in </w:t>
      </w:r>
      <w:proofErr w:type="spellStart"/>
      <w:r w:rsidRPr="00D518BE">
        <w:rPr>
          <w:rStyle w:val="Style13ptBold"/>
          <w:b w:val="0"/>
        </w:rPr>
        <w:t>poli</w:t>
      </w:r>
      <w:proofErr w:type="spellEnd"/>
      <w:r w:rsidRPr="00D518BE">
        <w:rPr>
          <w:rStyle w:val="Style13ptBold"/>
          <w:b w:val="0"/>
        </w:rPr>
        <w:t xml:space="preserve"> </w:t>
      </w:r>
      <w:proofErr w:type="spellStart"/>
      <w:r w:rsidRPr="00D518BE">
        <w:rPr>
          <w:rStyle w:val="Style13ptBold"/>
          <w:b w:val="0"/>
        </w:rPr>
        <w:t>sci</w:t>
      </w:r>
      <w:proofErr w:type="spellEnd"/>
      <w:r w:rsidRPr="00D518BE">
        <w:rPr>
          <w:rStyle w:val="Style13ptBold"/>
          <w:b w:val="0"/>
        </w:rPr>
        <w:t xml:space="preserve">, prolific author and activist. </w:t>
      </w:r>
      <w:proofErr w:type="gramStart"/>
      <w:r w:rsidRPr="00D518BE">
        <w:rPr>
          <w:rStyle w:val="Style13ptBold"/>
          <w:b w:val="0"/>
        </w:rPr>
        <w:t>From the book “Against Empire”.</w:t>
      </w:r>
      <w:proofErr w:type="gramEnd"/>
      <w:r w:rsidRPr="00D518BE">
        <w:rPr>
          <w:rStyle w:val="Style13ptBold"/>
          <w:b w:val="0"/>
        </w:rPr>
        <w:t xml:space="preserve"> PP. 75-79.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1C27A55C" w14:textId="77777777" w:rsidR="002B4247" w:rsidRPr="00D839F4" w:rsidRDefault="002B4247" w:rsidP="00D839F4">
      <w:r w:rsidRPr="00D839F4">
        <w:t xml:space="preserve">One repeatedly hears that U.S. leaders oppose communist countries because they lack political democracy. But, as noted earlier, successive administrations in Washington have supported some of the most repressive regimes in the world, ones that regularly have indulged in mass arrests, assassination, torture, and intimidation. In addition, Washington has supported some of the worst right-wing counterrevolutionary rebel cutthroats: </w:t>
      </w:r>
      <w:proofErr w:type="spellStart"/>
      <w:r w:rsidRPr="00D839F4">
        <w:t>Savimbi's</w:t>
      </w:r>
      <w:proofErr w:type="spellEnd"/>
      <w:r w:rsidRPr="00D839F4">
        <w:t xml:space="preserve"> UNITA in Angola, RENAMO in Mozambique, the </w:t>
      </w:r>
      <w:proofErr w:type="spellStart"/>
      <w:r w:rsidRPr="00D839F4">
        <w:t>mujahideen</w:t>
      </w:r>
      <w:proofErr w:type="spellEnd"/>
      <w:r w:rsidRPr="00D839F4">
        <w:t xml:space="preserve"> in Afghanistan, and in the 1980s even the Pol Pot lunatics who waged war against socialist Cambodia. Consider the case of Cuba. We are asked to believe that decades of U.S. hostility toward Cuba including embargo, sabotage, and invasion have been motivated by a distaste for the autocratic nature of the Castro government and a concern for the freedoms of the Cuban people. Whence this sudden urge to "restore" Cuban liberty? </w:t>
      </w:r>
      <w:proofErr w:type="gramStart"/>
      <w:r w:rsidRPr="00D839F4">
        <w:t>In the decades before the Cuban Revolution of 1959, successive US.</w:t>
      </w:r>
      <w:proofErr w:type="gramEnd"/>
      <w:r w:rsidRPr="00D839F4">
        <w:t xml:space="preserve"> </w:t>
      </w:r>
      <w:proofErr w:type="gramStart"/>
      <w:r w:rsidRPr="00D839F4">
        <w:t>administrations</w:t>
      </w:r>
      <w:proofErr w:type="gramEnd"/>
      <w:r w:rsidRPr="00D839F4">
        <w:t xml:space="preserve"> backed a brutally repressive autocracy headed by General </w:t>
      </w:r>
      <w:proofErr w:type="spellStart"/>
      <w:r w:rsidRPr="00D839F4">
        <w:t>Fulgencio</w:t>
      </w:r>
      <w:proofErr w:type="spellEnd"/>
      <w:r w:rsidRPr="00D839F4">
        <w:t xml:space="preserve"> Batista. The significant but unspoken difference was that Batista was a comprador leader who left Cuba wide open to US. </w:t>
      </w:r>
      <w:proofErr w:type="gramStart"/>
      <w:r w:rsidRPr="00D839F4">
        <w:t>capital</w:t>
      </w:r>
      <w:proofErr w:type="gramEnd"/>
      <w:r w:rsidRPr="00D839F4">
        <w:t xml:space="preserve"> penetration. In contrast, Fidel Castro did away with private corporate control of the economy, nationalized US. </w:t>
      </w:r>
      <w:proofErr w:type="gramStart"/>
      <w:r w:rsidRPr="00D839F4">
        <w:t>holdings</w:t>
      </w:r>
      <w:proofErr w:type="gramEnd"/>
      <w:r w:rsidRPr="00D839F4">
        <w:t xml:space="preserve">, and renovated the class structure in a more collectivized and egalitarian mode. That is what made him so insufferable. </w:t>
      </w:r>
      <w:proofErr w:type="gramStart"/>
      <w:r w:rsidRPr="00D839F4">
        <w:t>Far from supporting democracy around the world, the US.</w:t>
      </w:r>
      <w:proofErr w:type="gramEnd"/>
      <w:r w:rsidRPr="00D839F4">
        <w:t xml:space="preserve"> </w:t>
      </w:r>
      <w:proofErr w:type="gramStart"/>
      <w:r w:rsidRPr="00D839F4">
        <w:t>national</w:t>
      </w:r>
      <w:proofErr w:type="gramEnd"/>
      <w:r w:rsidRPr="00D839F4">
        <w:t xml:space="preserve"> security state since World War II has played an active role in the destruction of progressive democratic governments in some two dozen countries. In justifying the overthrow of Chile's democratically elected president, Salvador Allende, in 1973, Henry Kissinger remarked that when we have to choose between the economy and democracy, we must save the economy. Kissinger was uttering a half-truth. It would have been the whole truth if he had said he wanted to save the capitalist economy.</w:t>
      </w:r>
    </w:p>
    <w:p w14:paraId="37FF7936" w14:textId="77777777" w:rsidR="002B4247" w:rsidRPr="00D839F4" w:rsidRDefault="002B4247" w:rsidP="00D518BE">
      <w:pPr>
        <w:pStyle w:val="Heading4"/>
      </w:pPr>
      <w:r w:rsidRPr="00D839F4">
        <w:t>Western Thought of Developing Countries is dehumanizing</w:t>
      </w:r>
    </w:p>
    <w:p w14:paraId="5ED9EEB2" w14:textId="77777777" w:rsidR="002B4247" w:rsidRPr="00D518BE" w:rsidRDefault="002B4247" w:rsidP="00D839F4">
      <w:pPr>
        <w:rPr>
          <w:rStyle w:val="Style13ptBold"/>
        </w:rPr>
      </w:pPr>
      <w:r w:rsidRPr="00D518BE">
        <w:rPr>
          <w:rStyle w:val="Style13ptBold"/>
        </w:rPr>
        <w:t>Escobar 12</w:t>
      </w:r>
      <w:r w:rsidR="00D518BE" w:rsidRPr="00D518BE">
        <w:rPr>
          <w:rStyle w:val="Style13ptBold"/>
        </w:rPr>
        <w:t xml:space="preserve"> </w:t>
      </w:r>
      <w:r w:rsidRPr="00D518BE">
        <w:rPr>
          <w:rStyle w:val="Style13ptBold"/>
          <w:b w:val="0"/>
        </w:rPr>
        <w:t xml:space="preserve">(Arturo Escobar, Kenan distinguished prof. of Anthropology at the University of North Carolina, Chapel Hill. From the book “Encountering Development: The Making and Unmaking of the Third World. Originally published in 1995, this card is from the new edition with a new introduction and minor updates/revisions in 2012. PP. 52-54.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69A719F3" w14:textId="77777777" w:rsidR="002B4247" w:rsidRPr="00D839F4" w:rsidRDefault="002B4247" w:rsidP="00D839F4">
      <w:r w:rsidRPr="00D839F4">
        <w:t xml:space="preserve">The coherence of effects that the development discourse achieved is the key to its success as a hegemonic form of representation: the construction of the poor and underdeveloped as universal, </w:t>
      </w:r>
      <w:proofErr w:type="spellStart"/>
      <w:r w:rsidRPr="00D839F4">
        <w:t>preconstituted</w:t>
      </w:r>
      <w:proofErr w:type="spellEnd"/>
      <w:r w:rsidRPr="00D839F4">
        <w:t xml:space="preserve"> subjects, based on the privilege of the </w:t>
      </w:r>
      <w:proofErr w:type="spellStart"/>
      <w:r w:rsidRPr="00D839F4">
        <w:t>representers</w:t>
      </w:r>
      <w:proofErr w:type="spellEnd"/>
      <w:r w:rsidRPr="00D839F4">
        <w:t xml:space="preserve">; the exercise of power over the Third World made possible by this discursive homogenization (which entails the erasure of the complexity and diversity of Third World peoples, so that a squatter in Mexico City, a Nepalese peasant, and a </w:t>
      </w:r>
      <w:proofErr w:type="spellStart"/>
      <w:r w:rsidRPr="00D839F4">
        <w:t>Tuareg</w:t>
      </w:r>
      <w:proofErr w:type="spellEnd"/>
      <w:r w:rsidRPr="00D839F4">
        <w:t xml:space="preserve"> nomad become equivalent to each other as poor and underdeveloped); and the colonization and domination of the natural and human ecologies and economies of the Third World. Development assumes </w:t>
      </w:r>
      <w:proofErr w:type="gramStart"/>
      <w:r w:rsidRPr="00D839F4">
        <w:t>a teleology</w:t>
      </w:r>
      <w:proofErr w:type="gramEnd"/>
      <w:r w:rsidRPr="00D839F4">
        <w:t xml:space="preserve"> to the extent that it proposes that the "natives" will sooner or later be reformed; at </w:t>
      </w:r>
      <w:r w:rsidRPr="00D839F4">
        <w:lastRenderedPageBreak/>
        <w:t xml:space="preserve">the same time, however, it reproduces endlessly the separation between reformers and those to be reformed by keeping alive the premise of the Third World as different and inferior, as having a limited humanity in relation to the accomplished European. Development relies on this perpetual recognition and disavowal of difference, a feature identified by </w:t>
      </w:r>
      <w:proofErr w:type="spellStart"/>
      <w:r w:rsidRPr="00D839F4">
        <w:t>Bhabha</w:t>
      </w:r>
      <w:proofErr w:type="spellEnd"/>
      <w:r w:rsidRPr="00D839F4">
        <w:t xml:space="preserve"> (1990) as inherent to </w:t>
      </w:r>
      <w:proofErr w:type="spellStart"/>
      <w:r w:rsidRPr="00D839F4">
        <w:t>discriminatio</w:t>
      </w:r>
      <w:proofErr w:type="spellEnd"/>
      <w:r w:rsidRPr="00D839F4">
        <w:t xml:space="preserve">. The signifiers of "poverty", "illiteracy," "hunger," and so forth have already achieved </w:t>
      </w:r>
      <w:proofErr w:type="gramStart"/>
      <w:r w:rsidRPr="00D839F4">
        <w:t>a fixity</w:t>
      </w:r>
      <w:proofErr w:type="gramEnd"/>
      <w:r w:rsidRPr="00D839F4">
        <w:t xml:space="preserve"> as </w:t>
      </w:r>
      <w:proofErr w:type="spellStart"/>
      <w:r w:rsidRPr="00D839F4">
        <w:t>signifieds</w:t>
      </w:r>
      <w:proofErr w:type="spellEnd"/>
      <w:r w:rsidRPr="00D839F4">
        <w:t xml:space="preserve"> of "underdevelopment"</w:t>
      </w:r>
      <w:r w:rsidRPr="00D839F4">
        <w:tab/>
        <w:t>which seems impossible to sunder. Perhaps no other factor has contributed to cementing the association of "poverty" with "underdevelopment" as the discourse of economists. To them I dedicate the coming chapter.</w:t>
      </w:r>
    </w:p>
    <w:p w14:paraId="4A9B5FB6" w14:textId="77777777" w:rsidR="002B4247" w:rsidRPr="00D839F4" w:rsidRDefault="002B4247" w:rsidP="00D518BE">
      <w:pPr>
        <w:pStyle w:val="Heading4"/>
      </w:pPr>
      <w:r w:rsidRPr="00D839F4">
        <w:t>Cuba</w:t>
      </w:r>
    </w:p>
    <w:p w14:paraId="45B39A31" w14:textId="77777777" w:rsidR="002B4247" w:rsidRPr="00D518BE" w:rsidRDefault="002B4247" w:rsidP="00D839F4">
      <w:pPr>
        <w:rPr>
          <w:rStyle w:val="Style13ptBold"/>
        </w:rPr>
      </w:pPr>
      <w:proofErr w:type="spellStart"/>
      <w:r w:rsidRPr="00D518BE">
        <w:rPr>
          <w:rStyle w:val="Style13ptBold"/>
        </w:rPr>
        <w:t>Parenti</w:t>
      </w:r>
      <w:proofErr w:type="spellEnd"/>
      <w:r w:rsidRPr="00D518BE">
        <w:rPr>
          <w:rStyle w:val="Style13ptBold"/>
        </w:rPr>
        <w:t xml:space="preserve"> 95</w:t>
      </w:r>
      <w:r w:rsidR="00D518BE" w:rsidRPr="00D518BE">
        <w:rPr>
          <w:rStyle w:val="Style13ptBold"/>
        </w:rPr>
        <w:t xml:space="preserve"> </w:t>
      </w:r>
      <w:r w:rsidRPr="00D518BE">
        <w:rPr>
          <w:rStyle w:val="Style13ptBold"/>
          <w:b w:val="0"/>
        </w:rPr>
        <w:t xml:space="preserve">(Michael </w:t>
      </w:r>
      <w:proofErr w:type="spellStart"/>
      <w:r w:rsidRPr="00D518BE">
        <w:rPr>
          <w:rStyle w:val="Style13ptBold"/>
          <w:b w:val="0"/>
        </w:rPr>
        <w:t>Parenti</w:t>
      </w:r>
      <w:proofErr w:type="spellEnd"/>
      <w:r w:rsidRPr="00D518BE">
        <w:rPr>
          <w:rStyle w:val="Style13ptBold"/>
          <w:b w:val="0"/>
        </w:rPr>
        <w:t xml:space="preserve">, Ph.D. from Yale in </w:t>
      </w:r>
      <w:proofErr w:type="spellStart"/>
      <w:r w:rsidRPr="00D518BE">
        <w:rPr>
          <w:rStyle w:val="Style13ptBold"/>
          <w:b w:val="0"/>
        </w:rPr>
        <w:t>poli</w:t>
      </w:r>
      <w:proofErr w:type="spellEnd"/>
      <w:r w:rsidRPr="00D518BE">
        <w:rPr>
          <w:rStyle w:val="Style13ptBold"/>
          <w:b w:val="0"/>
        </w:rPr>
        <w:t xml:space="preserve"> </w:t>
      </w:r>
      <w:proofErr w:type="spellStart"/>
      <w:r w:rsidRPr="00D518BE">
        <w:rPr>
          <w:rStyle w:val="Style13ptBold"/>
          <w:b w:val="0"/>
        </w:rPr>
        <w:t>sci</w:t>
      </w:r>
      <w:proofErr w:type="spellEnd"/>
      <w:r w:rsidRPr="00D518BE">
        <w:rPr>
          <w:rStyle w:val="Style13ptBold"/>
          <w:b w:val="0"/>
        </w:rPr>
        <w:t xml:space="preserve">, prolific author and activist. </w:t>
      </w:r>
      <w:proofErr w:type="gramStart"/>
      <w:r w:rsidRPr="00D518BE">
        <w:rPr>
          <w:rStyle w:val="Style13ptBold"/>
          <w:b w:val="0"/>
        </w:rPr>
        <w:t>From the book “Against Empire”.</w:t>
      </w:r>
      <w:proofErr w:type="gramEnd"/>
      <w:r w:rsidRPr="00D518BE">
        <w:rPr>
          <w:rStyle w:val="Style13ptBold"/>
          <w:b w:val="0"/>
        </w:rPr>
        <w:t xml:space="preserve"> PP. 75-79.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162F11CF" w14:textId="77777777" w:rsidR="002B4247" w:rsidRPr="00D839F4" w:rsidRDefault="002B4247" w:rsidP="00D839F4">
      <w:r w:rsidRPr="00D839F4">
        <w:t xml:space="preserve">One repeatedly hears that U.S. leaders oppose communist countries because they lack political democracy. But, as noted earlier, successive administrations in Washington have supported some of the most repressive regimes in the world, ones that regularly have indulged in mass arrests, assassination, torture, and intimidation. In addition, Washington has supported some of the worst right-wing counterrevolutionary rebel cutthroats: </w:t>
      </w:r>
      <w:proofErr w:type="spellStart"/>
      <w:r w:rsidRPr="00D839F4">
        <w:t>Savimbi's</w:t>
      </w:r>
      <w:proofErr w:type="spellEnd"/>
      <w:r w:rsidRPr="00D839F4">
        <w:t xml:space="preserve"> UNITA in Angola, RENAMO in Mozambique, the </w:t>
      </w:r>
      <w:proofErr w:type="spellStart"/>
      <w:r w:rsidRPr="00D839F4">
        <w:t>mujahideen</w:t>
      </w:r>
      <w:proofErr w:type="spellEnd"/>
      <w:r w:rsidRPr="00D839F4">
        <w:t xml:space="preserve"> in Afghanistan, and in the 1980s even the Pol Pot lunatics who waged war against socialist Cambodia. Consider the case of Cuba. We are asked to believe that decades of U.S. hostility toward Cuba including embargo, sabotage, and invasion have been motivated by a distaste for the autocratic nature of the Castro government and a concern for the freedoms of the Cuban people. Whence this sudden urge to "restore" Cuban liberty? </w:t>
      </w:r>
      <w:proofErr w:type="gramStart"/>
      <w:r w:rsidRPr="00D839F4">
        <w:t>In the decades before the Cuban Revolution of 1959, successive US.</w:t>
      </w:r>
      <w:proofErr w:type="gramEnd"/>
      <w:r w:rsidRPr="00D839F4">
        <w:t xml:space="preserve"> </w:t>
      </w:r>
      <w:proofErr w:type="gramStart"/>
      <w:r w:rsidRPr="00D839F4">
        <w:t>administrations</w:t>
      </w:r>
      <w:proofErr w:type="gramEnd"/>
      <w:r w:rsidRPr="00D839F4">
        <w:t xml:space="preserve"> backed a brutally repressive autocracy headed by General </w:t>
      </w:r>
      <w:proofErr w:type="spellStart"/>
      <w:r w:rsidRPr="00D839F4">
        <w:t>Fulgencio</w:t>
      </w:r>
      <w:proofErr w:type="spellEnd"/>
      <w:r w:rsidRPr="00D839F4">
        <w:t xml:space="preserve"> Batista. The significant but unspoken difference was that Batista was a comprador leader who left Cuba wide open to US. </w:t>
      </w:r>
      <w:proofErr w:type="gramStart"/>
      <w:r w:rsidRPr="00D839F4">
        <w:t>capital</w:t>
      </w:r>
      <w:proofErr w:type="gramEnd"/>
      <w:r w:rsidRPr="00D839F4">
        <w:t xml:space="preserve"> penetration. In contrast, Fidel Castro did away with private corporate control of the economy, nationalized US. </w:t>
      </w:r>
      <w:proofErr w:type="gramStart"/>
      <w:r w:rsidRPr="00D839F4">
        <w:t>holdings</w:t>
      </w:r>
      <w:proofErr w:type="gramEnd"/>
      <w:r w:rsidRPr="00D839F4">
        <w:t xml:space="preserve">, and renovated the class structure in a more collectivized and egalitarian mode. That is what made him so insufferable. </w:t>
      </w:r>
      <w:proofErr w:type="gramStart"/>
      <w:r w:rsidRPr="00D839F4">
        <w:t>Far from supporting democracy around the world, the US.</w:t>
      </w:r>
      <w:proofErr w:type="gramEnd"/>
      <w:r w:rsidRPr="00D839F4">
        <w:t xml:space="preserve"> </w:t>
      </w:r>
      <w:proofErr w:type="gramStart"/>
      <w:r w:rsidRPr="00D839F4">
        <w:t>national</w:t>
      </w:r>
      <w:proofErr w:type="gramEnd"/>
      <w:r w:rsidRPr="00D839F4">
        <w:t xml:space="preserve"> security state since World War II has played an active role in the destruction of progressive democratic governments in some two dozen countries. In justifying the overthrow of Chile's democratically elected president, Salvador Allende, in 1973, Henry Kissinger remarked that when we have to choose between the economy and democracy, we must save the economy. Kissinger was uttering a half-truth. It would have been the whole truth if he had said he wanted to save the capitalist economy.</w:t>
      </w:r>
    </w:p>
    <w:p w14:paraId="26CAFB08" w14:textId="77777777" w:rsidR="002B4247" w:rsidRPr="00D839F4" w:rsidRDefault="002B4247" w:rsidP="00D518BE">
      <w:pPr>
        <w:pStyle w:val="Heading4"/>
      </w:pPr>
      <w:r w:rsidRPr="00D839F4">
        <w:t>US Does Not Solve Conflicts</w:t>
      </w:r>
    </w:p>
    <w:p w14:paraId="540D2AA9" w14:textId="77777777" w:rsidR="002B4247" w:rsidRPr="00D518BE" w:rsidRDefault="002B4247" w:rsidP="00D839F4">
      <w:pPr>
        <w:rPr>
          <w:rStyle w:val="Style13ptBold"/>
        </w:rPr>
      </w:pPr>
      <w:r w:rsidRPr="00D518BE">
        <w:rPr>
          <w:rStyle w:val="Style13ptBold"/>
        </w:rPr>
        <w:t>Escobar 12</w:t>
      </w:r>
      <w:r w:rsidR="00D518BE" w:rsidRPr="00D518BE">
        <w:rPr>
          <w:rStyle w:val="Style13ptBold"/>
        </w:rPr>
        <w:t xml:space="preserve"> </w:t>
      </w:r>
      <w:r w:rsidRPr="00D518BE">
        <w:rPr>
          <w:rStyle w:val="Style13ptBold"/>
          <w:b w:val="0"/>
        </w:rPr>
        <w:t xml:space="preserve">(Arturo Escobar, Kenan distinguished prof. of Anthropology at the University of North Carolina, Chapel Hill. From the book “Encountering Development: The Making and Unmaking of the Third World. Originally published in 1995, this card is from the new edition with a new introduction and minor updates/revisions in 2012. PP. 39-44.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182A7D8C" w14:textId="77777777" w:rsidR="002B4247" w:rsidRPr="00D839F4" w:rsidRDefault="002B4247" w:rsidP="00D839F4">
      <w:r w:rsidRPr="00D839F4">
        <w:lastRenderedPageBreak/>
        <w:t xml:space="preserve">As time went by, new problems were progressively and selectively incorporated; once a problem was incorporated into the discourse, it had to be categorized and further specified. Some problems were specified at a given level (such as local or regional), or at </w:t>
      </w:r>
      <w:proofErr w:type="gramStart"/>
      <w:r w:rsidRPr="00D839F4">
        <w:t>various</w:t>
      </w:r>
      <w:proofErr w:type="gramEnd"/>
      <w:r w:rsidRPr="00D839F4">
        <w:t xml:space="preserve"> of these levels (for instance, a nutritional deficiency identified at the level of the household could be further specified as a regional production shortage or as affecting a given population group), or in relation to a particular institution. But these refined specifications did not seek so much to illuminate possible solutions as to give "problems" a visible reality amenable to particular treatments. This seemingly endless specification of problems required detailed observations in villages, regions, and countries in the Third World. Complete dossiers of countries were elaborated, and techniques of information were designed and constantly refined. This feature of the discourse allowed for the mapping of the economic and social life of countries, constituting a true political anatomy of the Third World.22</w:t>
      </w:r>
    </w:p>
    <w:p w14:paraId="311F29C5" w14:textId="77777777" w:rsidR="002B4247" w:rsidRPr="00D839F4" w:rsidRDefault="002B4247" w:rsidP="00D518BE">
      <w:pPr>
        <w:pStyle w:val="Heading4"/>
      </w:pPr>
      <w:r w:rsidRPr="00D839F4">
        <w:t>Forced Development Leads to violence against women</w:t>
      </w:r>
    </w:p>
    <w:p w14:paraId="1392301A" w14:textId="77777777" w:rsidR="002B4247" w:rsidRPr="00D518BE" w:rsidRDefault="002B4247" w:rsidP="00D839F4">
      <w:pPr>
        <w:rPr>
          <w:rStyle w:val="Style13ptBold"/>
          <w:b w:val="0"/>
        </w:rPr>
      </w:pPr>
      <w:r w:rsidRPr="00D518BE">
        <w:rPr>
          <w:rStyle w:val="Style13ptBold"/>
        </w:rPr>
        <w:t>Escobar 12</w:t>
      </w:r>
      <w:r w:rsidR="00D518BE" w:rsidRPr="00D518BE">
        <w:rPr>
          <w:rStyle w:val="Style13ptBold"/>
        </w:rPr>
        <w:t xml:space="preserve"> </w:t>
      </w:r>
      <w:r w:rsidRPr="00D518BE">
        <w:rPr>
          <w:rStyle w:val="Style13ptBold"/>
          <w:b w:val="0"/>
        </w:rPr>
        <w:t xml:space="preserve">(Arturo Escobar, Kenan distinguished prof. of Anthropology at the University of North Carolina, Chapel Hill. From the book “Encountering Development: The Making and Unmaking of the Third World. Originally published in 1995, this card is from the new edition with a new introduction and minor updates/revisions in 2012. PP. 214-222. </w:t>
      </w:r>
      <w:proofErr w:type="spellStart"/>
      <w:r w:rsidRPr="00D518BE">
        <w:rPr>
          <w:rStyle w:val="Style13ptBold"/>
          <w:b w:val="0"/>
        </w:rPr>
        <w:t>OCRed</w:t>
      </w:r>
      <w:proofErr w:type="spellEnd"/>
      <w:r w:rsidRPr="00D518BE">
        <w:rPr>
          <w:rStyle w:val="Style13ptBold"/>
          <w:b w:val="0"/>
        </w:rPr>
        <w:t xml:space="preserve"> from the original, minor textual errors may exist.)</w:t>
      </w:r>
    </w:p>
    <w:p w14:paraId="6A4C1E80" w14:textId="77777777" w:rsidR="002B4247" w:rsidRPr="00D839F4" w:rsidRDefault="002B4247" w:rsidP="00D839F4">
      <w:r w:rsidRPr="00D839F4">
        <w:t xml:space="preserve">The development discourse, as this book has shown, has been the central and most ubiquitous operator of the politics of representation and identity in much of Asia, Africa, and Latin America in the post-World War II period. Asia, Africa, and Latin America have witnessed a succession of regimes of representation originating in colonialism and European modernity but often appropriated as national projects in </w:t>
      </w:r>
      <w:proofErr w:type="spellStart"/>
      <w:r w:rsidRPr="00D839F4">
        <w:t>postindependence</w:t>
      </w:r>
      <w:proofErr w:type="spellEnd"/>
      <w:r w:rsidRPr="00D839F4">
        <w:t xml:space="preserve"> Latin America and postcolonial Africa and Asia--each with its accompanying regime of violence. As places of encounter and suppression of local cultures, women, identities, and histories, these regimes of representation are </w:t>
      </w:r>
      <w:proofErr w:type="spellStart"/>
      <w:r w:rsidRPr="00D839F4">
        <w:t>originary</w:t>
      </w:r>
      <w:proofErr w:type="spellEnd"/>
      <w:r w:rsidRPr="00D839F4">
        <w:t xml:space="preserve"> sites of violence (Rojas de Ferro 1994). As a regime of representation of this sort, development has been linked to an economy of production and desire, but also of closure, difference, and violence. To be sure, this violence is also mimetic violence, a source of self-formation. Terror and violence circulate and become, themselves, spaces of cultural production (Girard 1977 and </w:t>
      </w:r>
      <w:proofErr w:type="spellStart"/>
      <w:r w:rsidRPr="00D839F4">
        <w:t>Taussig</w:t>
      </w:r>
      <w:proofErr w:type="spellEnd"/>
      <w:r w:rsidRPr="00D839F4">
        <w:t xml:space="preserve"> 1987). But the modernized violence introduced with colonialism and development is itself a source of identity. From the will to civilization in the nineteenth century to today, violence has been engendered through representation. </w:t>
      </w:r>
    </w:p>
    <w:p w14:paraId="053AF22A" w14:textId="77777777" w:rsidR="002B4247" w:rsidRPr="00D839F4" w:rsidRDefault="002B4247" w:rsidP="00D518BE">
      <w:pPr>
        <w:pStyle w:val="Heading4"/>
      </w:pPr>
      <w:r w:rsidRPr="00D839F4">
        <w:t>US Economic Hardships Spread Worldwide</w:t>
      </w:r>
      <w:r w:rsidRPr="00D839F4">
        <w:tab/>
      </w:r>
    </w:p>
    <w:p w14:paraId="4168EAAF" w14:textId="77777777" w:rsidR="002B4247" w:rsidRPr="00D518BE" w:rsidRDefault="002B4247" w:rsidP="00D839F4">
      <w:pPr>
        <w:rPr>
          <w:rStyle w:val="Style13ptBold"/>
        </w:rPr>
      </w:pPr>
      <w:r w:rsidRPr="00D518BE">
        <w:rPr>
          <w:rStyle w:val="Style13ptBold"/>
        </w:rPr>
        <w:t>(</w:t>
      </w:r>
      <w:r w:rsidRPr="00D518BE">
        <w:rPr>
          <w:rStyle w:val="Style13ptBold"/>
          <w:b w:val="0"/>
        </w:rPr>
        <w:t>Richard Clay</w:t>
      </w:r>
      <w:r w:rsidRPr="00D518BE">
        <w:rPr>
          <w:rStyle w:val="Style13ptBold"/>
        </w:rPr>
        <w:t xml:space="preserve"> Hanes</w:t>
      </w:r>
      <w:r w:rsidRPr="00D518BE">
        <w:rPr>
          <w:rStyle w:val="Style13ptBold"/>
          <w:b w:val="0"/>
        </w:rPr>
        <w:t xml:space="preserve">, Global Impact 1929-1939, Historic Events for Students: The Great Depression, </w:t>
      </w:r>
      <w:r w:rsidRPr="00D518BE">
        <w:rPr>
          <w:rStyle w:val="Style13ptBold"/>
        </w:rPr>
        <w:t>2002)</w:t>
      </w:r>
    </w:p>
    <w:p w14:paraId="7100029B" w14:textId="77777777" w:rsidR="002B4247" w:rsidRPr="00D839F4" w:rsidRDefault="002B4247" w:rsidP="00D839F4">
      <w:r w:rsidRPr="00D839F4">
        <w:t xml:space="preserve">The crash of the U.S. stock market in October 1929 and the ensuing Great Depression did not immediately sweep the world in a universal wave of economic decline. Rather, the degree, type, and timing of economic events varied greatly among nations. Many believed the Depression was largely "exported" by the United States to Europe and other countries in the 1930s through the various economic policies it adopted. The U.S. economy was flourishing perhaps more than any other nation in the 1920s. With the onset of the Great Depression, it suffered sharp declines in manufacturing output and general employment. Other industrial countries experienced difficulties. For example, one outcome </w:t>
      </w:r>
      <w:r w:rsidRPr="00D839F4">
        <w:lastRenderedPageBreak/>
        <w:t>of the Great Depression was a collapse of world trade. The sharp decline was brought on by a round of tax increases on imported goods (tariffs) instituted by any nations turning inward trying to bolster their own sagging economies. In 1931 German industrial production decreased more than 40 percent; 29 percent in France; and 14 percent in Britain from 1929 levels. It was abundantly clear that the world was heading into a global crisis. As a result, international tensions and labor strife began rising. Events of 1931 began cascading, with one crisis leading to another. Austria's largest bank collapsed in May 1931 and concerns over the possible weak financial condition of other European banks immediately led to European residents rushing to banks where they had their money deposited. The rush of crowds of depositors all at once further weakened banks and even affected banks not previously in financial trouble. This run on banks led to failure of German banks by mid-June. As a result, Germany announced it could no longer keep paying its debts resulting from World War I (1914–1918). This led to economic problems in other European nations and the United States, reliant in part on those payments to fund their own government operations. The new and struggling German government, called the Weimar Republic, itself raised international concern. The young government was heavily burdened by war debts imposed by other European nations. With its economy struggling, its citizens had little faith in the government. Economic crisis continued to spread to other European nations. Great Britain responded with major budget cuts and finally a change in government. By September 1931 Britain had exhausted its options to stabilize its economy and decided to free its currency from the longstanding gold standard, allowing it to pursue other monetary options and strategies. This meant Britain's money was no longer tied formally to exchange rates of other nations based on a standard value of gold. This change gave it much greater flexibility to alter the value of its money in trying to recover from the Great Depression. Other nations began following the same path. By 1933 unemployment rates in Europe were soaring. Of the available workforce in each country, unemployment rates were 26.3 percent in Germany, 23.7 percent in Sweden, 14.1 percent in Britain, 20.4 percent in Belgium, and 28.8 percent in Denmark. In France social unrest was escalating with the effects of unemployment in addition to the rise of the Nazi Party in neighboring Germany. Political leaders of the various nations were coming under increased pressure to adopt forceful policies to end the Depression. Seeking solutions to the world crisis, more than 60 nations met at the 1933 World Economic Conference in London. When cooperative international solutions proved futile and the conference collapsed, the world seemed sentenced to a prolonged economic depression. Each nation was largely left to recover on its own.</w:t>
      </w:r>
    </w:p>
    <w:p w14:paraId="2870D5A4" w14:textId="77777777" w:rsidR="002B4247" w:rsidRPr="00D839F4" w:rsidRDefault="002B4247" w:rsidP="00D518BE">
      <w:pPr>
        <w:pStyle w:val="Heading4"/>
      </w:pPr>
      <w:r w:rsidRPr="00D839F4">
        <w:t>Poverty Leads to Violence Against Women</w:t>
      </w:r>
    </w:p>
    <w:p w14:paraId="0BC0CC9F" w14:textId="77777777" w:rsidR="002B4247" w:rsidRPr="00D518BE" w:rsidRDefault="002B4247" w:rsidP="00D839F4">
      <w:pPr>
        <w:rPr>
          <w:rStyle w:val="Style13ptBold"/>
        </w:rPr>
      </w:pPr>
      <w:proofErr w:type="spellStart"/>
      <w:r w:rsidRPr="00D518BE">
        <w:rPr>
          <w:rStyle w:val="Style13ptBold"/>
        </w:rPr>
        <w:t>Vetten</w:t>
      </w:r>
      <w:proofErr w:type="spellEnd"/>
      <w:r w:rsidR="00D518BE">
        <w:rPr>
          <w:rStyle w:val="Style13ptBold"/>
        </w:rPr>
        <w:t>, 2000</w:t>
      </w:r>
      <w:r w:rsidRPr="00D518BE">
        <w:rPr>
          <w:rStyle w:val="Style13ptBold"/>
        </w:rPr>
        <w:t xml:space="preserve"> </w:t>
      </w:r>
      <w:r w:rsidRPr="00D518BE">
        <w:rPr>
          <w:rStyle w:val="Style13ptBold"/>
          <w:b w:val="0"/>
        </w:rPr>
        <w:t xml:space="preserve">(Lisa. </w:t>
      </w:r>
      <w:r w:rsidRPr="00D518BE">
        <w:rPr>
          <w:rStyle w:val="Style13ptBold"/>
          <w:rFonts w:hint="cs"/>
          <w:b w:val="0"/>
        </w:rPr>
        <w:t>‎</w:t>
      </w:r>
      <w:proofErr w:type="gramStart"/>
      <w:r w:rsidRPr="00D518BE">
        <w:rPr>
          <w:rStyle w:val="Style13ptBold"/>
          <w:b w:val="0"/>
        </w:rPr>
        <w:t xml:space="preserve">Senior researcher at </w:t>
      </w:r>
      <w:proofErr w:type="spellStart"/>
      <w:r w:rsidRPr="00D518BE">
        <w:rPr>
          <w:rStyle w:val="Style13ptBold"/>
          <w:b w:val="0"/>
        </w:rPr>
        <w:t>Tshwaranang</w:t>
      </w:r>
      <w:proofErr w:type="spellEnd"/>
      <w:r w:rsidRPr="00D518BE">
        <w:rPr>
          <w:rStyle w:val="Style13ptBold"/>
          <w:b w:val="0"/>
        </w:rPr>
        <w:t xml:space="preserve"> Legal Advocacy Centre.</w:t>
      </w:r>
      <w:proofErr w:type="gramEnd"/>
      <w:r w:rsidRPr="00D518BE">
        <w:rPr>
          <w:rStyle w:val="Style13ptBold"/>
          <w:b w:val="0"/>
        </w:rPr>
        <w:t xml:space="preserve"> </w:t>
      </w:r>
      <w:proofErr w:type="gramStart"/>
      <w:r w:rsidRPr="00D518BE">
        <w:rPr>
          <w:rStyle w:val="Style13ptBold"/>
          <w:b w:val="0"/>
        </w:rPr>
        <w:t>The economics of domestic violence.</w:t>
      </w:r>
      <w:proofErr w:type="gramEnd"/>
      <w:r w:rsidRPr="00D518BE">
        <w:rPr>
          <w:rStyle w:val="Style13ptBold"/>
          <w:b w:val="0"/>
        </w:rPr>
        <w:t xml:space="preserve"> </w:t>
      </w:r>
      <w:proofErr w:type="gramStart"/>
      <w:r w:rsidRPr="00D518BE">
        <w:rPr>
          <w:rStyle w:val="Style13ptBold"/>
          <w:b w:val="0"/>
        </w:rPr>
        <w:t>The Centre for the Safety of Violence and Reconciliation.</w:t>
      </w:r>
      <w:proofErr w:type="gramEnd"/>
      <w:r w:rsidRPr="00D518BE">
        <w:rPr>
          <w:rStyle w:val="Style13ptBold"/>
          <w:b w:val="0"/>
        </w:rPr>
        <w:t xml:space="preserve"> March 12th, 2000.)</w:t>
      </w:r>
    </w:p>
    <w:p w14:paraId="7E76B3A5" w14:textId="77777777" w:rsidR="002B4247" w:rsidRPr="00D839F4" w:rsidRDefault="002B4247" w:rsidP="00D839F4">
      <w:r w:rsidRPr="00D839F4">
        <w:t xml:space="preserve">South Africa does not yet understand much about the relationship between poverty and crime. About the closest we ever come is the 'poverty-and-violence-causes-crime' thesis. However, this explanation not only libels the poor and unemployed generally, it is also inadequate. Single mothers and their children, along with elderly women and men, are among the poorest groups in the country. But when last did you lock yourself away in fear of being attacked by hordes of geriatric muggers, or single-mother-headed hijacking and car theft syndicates? The other bothersome feature of the poverty and unemployment thesis is its near-exclusive application to the behavior of perpetrators of violence. Rarely is it used to explain people's vulnerability to violence. Yet as the example of domestic violence </w:t>
      </w:r>
      <w:r w:rsidRPr="00D839F4">
        <w:lastRenderedPageBreak/>
        <w:t>illustrates, being poor or unemployed may make women very vulnerable to harm or victimization. Women typically earn less than men, experience greater rates of unemployment, are concentrated in the lowest-paying sectors of the job market and over-represented amongst the poor of South African society. As a result, finding a man and then sticking to him, is often as much a matter of economic necessity as it is a romantic choice.</w:t>
      </w:r>
    </w:p>
    <w:p w14:paraId="2AD6B083" w14:textId="77777777" w:rsidR="002B4247" w:rsidRPr="00D839F4" w:rsidRDefault="002B4247" w:rsidP="00D839F4"/>
    <w:p w14:paraId="093E56E7" w14:textId="77777777" w:rsidR="004304E2" w:rsidRPr="00D839F4" w:rsidRDefault="004304E2" w:rsidP="00D839F4"/>
    <w:sectPr w:rsidR="004304E2" w:rsidRPr="00D839F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9C4F" w14:textId="77777777" w:rsidR="00576719" w:rsidRDefault="00576719" w:rsidP="00AA6CE9">
      <w:pPr>
        <w:spacing w:after="0" w:line="240" w:lineRule="auto"/>
      </w:pPr>
      <w:r>
        <w:separator/>
      </w:r>
    </w:p>
  </w:endnote>
  <w:endnote w:type="continuationSeparator" w:id="0">
    <w:p w14:paraId="434D3552" w14:textId="77777777" w:rsidR="00576719" w:rsidRDefault="00576719" w:rsidP="00AA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5FA7" w14:textId="77777777" w:rsidR="00576719" w:rsidRDefault="005767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DD5D" w14:textId="77777777" w:rsidR="00576719" w:rsidRDefault="005767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6E7A" w14:textId="77777777" w:rsidR="00576719" w:rsidRDefault="00576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0554B" w14:textId="77777777" w:rsidR="00576719" w:rsidRDefault="00576719" w:rsidP="00AA6CE9">
      <w:pPr>
        <w:spacing w:after="0" w:line="240" w:lineRule="auto"/>
      </w:pPr>
      <w:r>
        <w:separator/>
      </w:r>
    </w:p>
  </w:footnote>
  <w:footnote w:type="continuationSeparator" w:id="0">
    <w:p w14:paraId="524DE4CB" w14:textId="77777777" w:rsidR="00576719" w:rsidRDefault="00576719" w:rsidP="00AA6C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4936" w14:textId="77777777" w:rsidR="00576719" w:rsidRDefault="00576719">
    <w:pPr>
      <w:pStyle w:val="Header"/>
    </w:pPr>
    <w:sdt>
      <w:sdtPr>
        <w:id w:val="171999623"/>
        <w:placeholder>
          <w:docPart w:val="1CEFB2D7F4E059409CB5ABA6F9794738"/>
        </w:placeholder>
        <w:temporary/>
        <w:showingPlcHdr/>
      </w:sdtPr>
      <w:sdtContent>
        <w:r>
          <w:t>[Type text]</w:t>
        </w:r>
      </w:sdtContent>
    </w:sdt>
    <w:r>
      <w:ptab w:relativeTo="margin" w:alignment="center" w:leader="none"/>
    </w:r>
    <w:sdt>
      <w:sdtPr>
        <w:id w:val="171999624"/>
        <w:placeholder>
          <w:docPart w:val="75052828876A65489A54C6414D85C4B9"/>
        </w:placeholder>
        <w:temporary/>
        <w:showingPlcHdr/>
      </w:sdtPr>
      <w:sdtContent>
        <w:r>
          <w:t>[Type text]</w:t>
        </w:r>
      </w:sdtContent>
    </w:sdt>
    <w:r>
      <w:ptab w:relativeTo="margin" w:alignment="right" w:leader="none"/>
    </w:r>
    <w:sdt>
      <w:sdtPr>
        <w:id w:val="171999625"/>
        <w:placeholder>
          <w:docPart w:val="3F4363E5A15A4245BC412A92FC55CCD8"/>
        </w:placeholder>
        <w:temporary/>
        <w:showingPlcHdr/>
      </w:sdtPr>
      <w:sdtContent>
        <w:r>
          <w:t>[Type text]</w:t>
        </w:r>
      </w:sdtContent>
    </w:sdt>
  </w:p>
  <w:p w14:paraId="7A5E53E9" w14:textId="77777777" w:rsidR="00576719" w:rsidRDefault="005767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4038" w14:textId="77777777" w:rsidR="00576719" w:rsidRDefault="00576719">
    <w:pPr>
      <w:pStyle w:val="Header"/>
    </w:pPr>
    <w:bookmarkStart w:id="22" w:name="_GoBack"/>
    <w:r w:rsidRPr="006A0D92">
      <w:rPr>
        <w:rFonts w:ascii="Arial" w:hAnsi="Arial"/>
        <w:b/>
        <w:noProof/>
        <w:sz w:val="24"/>
      </w:rPr>
      <w:drawing>
        <wp:anchor distT="0" distB="0" distL="114300" distR="114300" simplePos="0" relativeHeight="251659264" behindDoc="0" locked="0" layoutInCell="1" allowOverlap="1" wp14:anchorId="1B4B88F0" wp14:editId="538B3B7D">
          <wp:simplePos x="0" y="0"/>
          <wp:positionH relativeFrom="column">
            <wp:posOffset>-571500</wp:posOffset>
          </wp:positionH>
          <wp:positionV relativeFrom="paragraph">
            <wp:posOffset>-114300</wp:posOffset>
          </wp:positionV>
          <wp:extent cx="2395855" cy="405130"/>
          <wp:effectExtent l="0" t="0" r="0" b="1270"/>
          <wp:wrapTight wrapText="bothSides">
            <wp:wrapPolygon edited="0">
              <wp:start x="0" y="0"/>
              <wp:lineTo x="0" y="20313"/>
              <wp:lineTo x="21297" y="20313"/>
              <wp:lineTo x="21297" y="0"/>
              <wp:lineTo x="0"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bookmarkEnd w:id="22"/>
    <w:r>
      <w:ptab w:relativeTo="margin" w:alignment="center" w:leader="none"/>
    </w:r>
    <w:r>
      <w:ptab w:relativeTo="margin" w:alignment="right" w:leader="none"/>
    </w:r>
    <w:r>
      <w:t>Women’s Rights LD Brief</w:t>
    </w:r>
  </w:p>
  <w:p w14:paraId="34966648" w14:textId="77777777" w:rsidR="00576719" w:rsidRDefault="005767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1990" w14:textId="77777777" w:rsidR="00576719" w:rsidRDefault="005767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47A58BC"/>
    <w:multiLevelType w:val="hybridMultilevel"/>
    <w:tmpl w:val="E9888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70277788"/>
  </w:docVars>
  <w:rsids>
    <w:rsidRoot w:val="004304E2"/>
    <w:rsid w:val="002B4247"/>
    <w:rsid w:val="004304E2"/>
    <w:rsid w:val="00444E23"/>
    <w:rsid w:val="00545A1F"/>
    <w:rsid w:val="00576719"/>
    <w:rsid w:val="00AA6CE9"/>
    <w:rsid w:val="00B87BC2"/>
    <w:rsid w:val="00B97199"/>
    <w:rsid w:val="00C11006"/>
    <w:rsid w:val="00D518BE"/>
    <w:rsid w:val="00D8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839F4"/>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D839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D839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839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839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839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839F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839F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839F4"/>
    <w:rPr>
      <w:rFonts w:ascii="Calibri" w:eastAsiaTheme="majorEastAsia" w:hAnsi="Calibri" w:cstheme="majorBidi"/>
      <w:b/>
      <w:iCs/>
      <w:sz w:val="26"/>
    </w:rPr>
  </w:style>
  <w:style w:type="character" w:styleId="Emphasis">
    <w:name w:val="Emphasis"/>
    <w:basedOn w:val="DefaultParagraphFont"/>
    <w:uiPriority w:val="7"/>
    <w:qFormat/>
    <w:rsid w:val="00D839F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839F4"/>
    <w:rPr>
      <w:b/>
      <w:bCs/>
      <w:sz w:val="26"/>
      <w:u w:val="none"/>
    </w:rPr>
  </w:style>
  <w:style w:type="character" w:customStyle="1" w:styleId="StyleUnderline">
    <w:name w:val="Style Underline"/>
    <w:aliases w:val="Underline"/>
    <w:basedOn w:val="DefaultParagraphFont"/>
    <w:uiPriority w:val="6"/>
    <w:qFormat/>
    <w:rsid w:val="00D839F4"/>
    <w:rPr>
      <w:b w:val="0"/>
      <w:sz w:val="22"/>
      <w:u w:val="single"/>
    </w:rPr>
  </w:style>
  <w:style w:type="character" w:styleId="Hyperlink">
    <w:name w:val="Hyperlink"/>
    <w:basedOn w:val="DefaultParagraphFont"/>
    <w:uiPriority w:val="99"/>
    <w:unhideWhenUsed/>
    <w:rsid w:val="00D839F4"/>
    <w:rPr>
      <w:color w:val="auto"/>
      <w:u w:val="none"/>
    </w:rPr>
  </w:style>
  <w:style w:type="character" w:styleId="FollowedHyperlink">
    <w:name w:val="FollowedHyperlink"/>
    <w:basedOn w:val="DefaultParagraphFont"/>
    <w:uiPriority w:val="99"/>
    <w:semiHidden/>
    <w:unhideWhenUsed/>
    <w:rsid w:val="00D839F4"/>
    <w:rPr>
      <w:color w:val="auto"/>
      <w:u w:val="none"/>
    </w:rPr>
  </w:style>
  <w:style w:type="character" w:customStyle="1" w:styleId="CutCard">
    <w:name w:val="CutCard"/>
    <w:rsid w:val="002B4247"/>
    <w:rPr>
      <w:b/>
      <w:color w:val="auto"/>
      <w:sz w:val="24"/>
      <w:u w:val="single"/>
    </w:rPr>
  </w:style>
  <w:style w:type="paragraph" w:styleId="NormalWeb">
    <w:name w:val="Normal (Web)"/>
    <w:basedOn w:val="Normal"/>
    <w:uiPriority w:val="99"/>
    <w:unhideWhenUsed/>
    <w:rsid w:val="002B42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47"/>
    <w:rPr>
      <w:rFonts w:ascii="Tahoma" w:hAnsi="Tahoma" w:cs="Tahoma"/>
      <w:sz w:val="16"/>
      <w:szCs w:val="16"/>
    </w:rPr>
  </w:style>
  <w:style w:type="paragraph" w:styleId="Header">
    <w:name w:val="header"/>
    <w:basedOn w:val="Normal"/>
    <w:link w:val="HeaderChar"/>
    <w:uiPriority w:val="99"/>
    <w:unhideWhenUsed/>
    <w:rsid w:val="00AA6C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CE9"/>
    <w:rPr>
      <w:rFonts w:ascii="Calibri" w:hAnsi="Calibri"/>
    </w:rPr>
  </w:style>
  <w:style w:type="paragraph" w:styleId="Footer">
    <w:name w:val="footer"/>
    <w:basedOn w:val="Normal"/>
    <w:link w:val="FooterChar"/>
    <w:uiPriority w:val="99"/>
    <w:unhideWhenUsed/>
    <w:rsid w:val="00AA6C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CE9"/>
    <w:rPr>
      <w:rFonts w:ascii="Calibri" w:hAnsi="Calibri"/>
    </w:rPr>
  </w:style>
  <w:style w:type="paragraph" w:styleId="TOCHeading">
    <w:name w:val="TOC Heading"/>
    <w:basedOn w:val="Heading1"/>
    <w:next w:val="Normal"/>
    <w:uiPriority w:val="39"/>
    <w:unhideWhenUsed/>
    <w:qFormat/>
    <w:rsid w:val="00AA6CE9"/>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AA6CE9"/>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AA6CE9"/>
    <w:pPr>
      <w:spacing w:after="0"/>
      <w:ind w:left="440"/>
    </w:pPr>
    <w:rPr>
      <w:rFonts w:asciiTheme="minorHAnsi" w:hAnsiTheme="minorHAnsi"/>
    </w:rPr>
  </w:style>
  <w:style w:type="paragraph" w:styleId="TOC2">
    <w:name w:val="toc 2"/>
    <w:basedOn w:val="Normal"/>
    <w:next w:val="Normal"/>
    <w:autoRedefine/>
    <w:uiPriority w:val="39"/>
    <w:semiHidden/>
    <w:unhideWhenUsed/>
    <w:rsid w:val="00AA6CE9"/>
    <w:pPr>
      <w:spacing w:after="0"/>
      <w:ind w:left="220"/>
    </w:pPr>
    <w:rPr>
      <w:rFonts w:asciiTheme="minorHAnsi" w:hAnsiTheme="minorHAnsi"/>
      <w:b/>
    </w:rPr>
  </w:style>
  <w:style w:type="paragraph" w:styleId="TOC4">
    <w:name w:val="toc 4"/>
    <w:basedOn w:val="Normal"/>
    <w:next w:val="Normal"/>
    <w:autoRedefine/>
    <w:uiPriority w:val="39"/>
    <w:semiHidden/>
    <w:unhideWhenUsed/>
    <w:rsid w:val="00AA6CE9"/>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AA6CE9"/>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AA6CE9"/>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AA6CE9"/>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AA6CE9"/>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AA6CE9"/>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D839F4"/>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D839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D839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839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839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839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839F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839F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839F4"/>
    <w:rPr>
      <w:rFonts w:ascii="Calibri" w:eastAsiaTheme="majorEastAsia" w:hAnsi="Calibri" w:cstheme="majorBidi"/>
      <w:b/>
      <w:iCs/>
      <w:sz w:val="26"/>
    </w:rPr>
  </w:style>
  <w:style w:type="character" w:styleId="Emphasis">
    <w:name w:val="Emphasis"/>
    <w:basedOn w:val="DefaultParagraphFont"/>
    <w:uiPriority w:val="7"/>
    <w:qFormat/>
    <w:rsid w:val="00D839F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839F4"/>
    <w:rPr>
      <w:b/>
      <w:bCs/>
      <w:sz w:val="26"/>
      <w:u w:val="none"/>
    </w:rPr>
  </w:style>
  <w:style w:type="character" w:customStyle="1" w:styleId="StyleUnderline">
    <w:name w:val="Style Underline"/>
    <w:aliases w:val="Underline"/>
    <w:basedOn w:val="DefaultParagraphFont"/>
    <w:uiPriority w:val="6"/>
    <w:qFormat/>
    <w:rsid w:val="00D839F4"/>
    <w:rPr>
      <w:b w:val="0"/>
      <w:sz w:val="22"/>
      <w:u w:val="single"/>
    </w:rPr>
  </w:style>
  <w:style w:type="character" w:styleId="Hyperlink">
    <w:name w:val="Hyperlink"/>
    <w:basedOn w:val="DefaultParagraphFont"/>
    <w:uiPriority w:val="99"/>
    <w:unhideWhenUsed/>
    <w:rsid w:val="00D839F4"/>
    <w:rPr>
      <w:color w:val="auto"/>
      <w:u w:val="none"/>
    </w:rPr>
  </w:style>
  <w:style w:type="character" w:styleId="FollowedHyperlink">
    <w:name w:val="FollowedHyperlink"/>
    <w:basedOn w:val="DefaultParagraphFont"/>
    <w:uiPriority w:val="99"/>
    <w:semiHidden/>
    <w:unhideWhenUsed/>
    <w:rsid w:val="00D839F4"/>
    <w:rPr>
      <w:color w:val="auto"/>
      <w:u w:val="none"/>
    </w:rPr>
  </w:style>
  <w:style w:type="character" w:customStyle="1" w:styleId="CutCard">
    <w:name w:val="CutCard"/>
    <w:rsid w:val="002B4247"/>
    <w:rPr>
      <w:b/>
      <w:color w:val="auto"/>
      <w:sz w:val="24"/>
      <w:u w:val="single"/>
    </w:rPr>
  </w:style>
  <w:style w:type="paragraph" w:styleId="NormalWeb">
    <w:name w:val="Normal (Web)"/>
    <w:basedOn w:val="Normal"/>
    <w:uiPriority w:val="99"/>
    <w:unhideWhenUsed/>
    <w:rsid w:val="002B42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47"/>
    <w:rPr>
      <w:rFonts w:ascii="Tahoma" w:hAnsi="Tahoma" w:cs="Tahoma"/>
      <w:sz w:val="16"/>
      <w:szCs w:val="16"/>
    </w:rPr>
  </w:style>
  <w:style w:type="paragraph" w:styleId="Header">
    <w:name w:val="header"/>
    <w:basedOn w:val="Normal"/>
    <w:link w:val="HeaderChar"/>
    <w:uiPriority w:val="99"/>
    <w:unhideWhenUsed/>
    <w:rsid w:val="00AA6C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CE9"/>
    <w:rPr>
      <w:rFonts w:ascii="Calibri" w:hAnsi="Calibri"/>
    </w:rPr>
  </w:style>
  <w:style w:type="paragraph" w:styleId="Footer">
    <w:name w:val="footer"/>
    <w:basedOn w:val="Normal"/>
    <w:link w:val="FooterChar"/>
    <w:uiPriority w:val="99"/>
    <w:unhideWhenUsed/>
    <w:rsid w:val="00AA6C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CE9"/>
    <w:rPr>
      <w:rFonts w:ascii="Calibri" w:hAnsi="Calibri"/>
    </w:rPr>
  </w:style>
  <w:style w:type="paragraph" w:styleId="TOCHeading">
    <w:name w:val="TOC Heading"/>
    <w:basedOn w:val="Heading1"/>
    <w:next w:val="Normal"/>
    <w:uiPriority w:val="39"/>
    <w:unhideWhenUsed/>
    <w:qFormat/>
    <w:rsid w:val="00AA6CE9"/>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AA6CE9"/>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AA6CE9"/>
    <w:pPr>
      <w:spacing w:after="0"/>
      <w:ind w:left="440"/>
    </w:pPr>
    <w:rPr>
      <w:rFonts w:asciiTheme="minorHAnsi" w:hAnsiTheme="minorHAnsi"/>
    </w:rPr>
  </w:style>
  <w:style w:type="paragraph" w:styleId="TOC2">
    <w:name w:val="toc 2"/>
    <w:basedOn w:val="Normal"/>
    <w:next w:val="Normal"/>
    <w:autoRedefine/>
    <w:uiPriority w:val="39"/>
    <w:semiHidden/>
    <w:unhideWhenUsed/>
    <w:rsid w:val="00AA6CE9"/>
    <w:pPr>
      <w:spacing w:after="0"/>
      <w:ind w:left="220"/>
    </w:pPr>
    <w:rPr>
      <w:rFonts w:asciiTheme="minorHAnsi" w:hAnsiTheme="minorHAnsi"/>
      <w:b/>
    </w:rPr>
  </w:style>
  <w:style w:type="paragraph" w:styleId="TOC4">
    <w:name w:val="toc 4"/>
    <w:basedOn w:val="Normal"/>
    <w:next w:val="Normal"/>
    <w:autoRedefine/>
    <w:uiPriority w:val="39"/>
    <w:semiHidden/>
    <w:unhideWhenUsed/>
    <w:rsid w:val="00AA6CE9"/>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AA6CE9"/>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AA6CE9"/>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AA6CE9"/>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AA6CE9"/>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AA6CE9"/>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andfonline.com/toc/rjii20/1/4" TargetMode="External"/><Relationship Id="rId21" Type="http://schemas.openxmlformats.org/officeDocument/2006/relationships/hyperlink" Target="http://web.b.ebscohost.com/ehost/detail?sid=d7c53171-dd87-4c53-bffc-09fe50aae01b%40sessionmgr111&amp;vid=2&amp;hid=112&amp;bdata=JnNpdGU9ZWhvc3QtbGl2ZQ%3d%3d" TargetMode="External"/><Relationship Id="rId22" Type="http://schemas.openxmlformats.org/officeDocument/2006/relationships/hyperlink" Target="http://web.b.ebscohost.com/ehost/detail?sid=d7c53171-dd87-4c53-bffc-09fe50aae01b%40sessionmgr111&amp;vid=2&amp;hid=112&amp;bdata=JnNpdGU9ZWhvc3QtbGl2ZQ%3d%3d" TargetMode="External"/><Relationship Id="rId23" Type="http://schemas.openxmlformats.org/officeDocument/2006/relationships/hyperlink" Target="http://web.b.ebscohost.com/ehost/detail?sid=d7c53171-dd87-4c53-bffc-09fe50aae01b%40sessionmgr111&amp;vid=2&amp;hid=112&amp;bdata=JnNpdGU9ZWhvc3QtbGl2ZQ%3d%3d" TargetMode="External"/><Relationship Id="rId24" Type="http://schemas.openxmlformats.org/officeDocument/2006/relationships/hyperlink" Target="http://web.b.ebscohost.com/ehost/detail?sid=d7c53171-dd87-4c53-bffc-09fe50aae01b%40sessionmgr111&amp;vid=2&amp;hid=112&amp;bdata=JnNpdGU9ZWhvc3QtbGl2ZQ%3d%3d" TargetMode="External"/><Relationship Id="rId25" Type="http://schemas.openxmlformats.org/officeDocument/2006/relationships/hyperlink" Target="http://web.b.ebscohost.com/ehost/detail?sid=d7c53171-dd87-4c53-bffc-09fe50aae01b%40sessionmgr111&amp;vid=2&amp;hid=112&amp;bdata=JnNpdGU9ZWhvc3QtbGl2ZQ%3d%3d" TargetMode="External"/><Relationship Id="rId26" Type="http://schemas.openxmlformats.org/officeDocument/2006/relationships/hyperlink" Target="http://web.b.ebscohost.com/ehost/detail?sid=d7c53171-dd87-4c53-bffc-09fe50aae01b%40sessionmgr111&amp;vid=2&amp;hid=112&amp;bdata=JnNpdGU9ZWhvc3QtbGl2ZQ%3d%3d" TargetMode="External"/><Relationship Id="rId27" Type="http://schemas.openxmlformats.org/officeDocument/2006/relationships/hyperlink" Target="http://web.b.ebscohost.com/ehost/detail?sid=d7c53171-dd87-4c53-bffc-09fe50aae01b%40sessionmgr111&amp;vid=2&amp;hid=112&amp;bdata=JnNpdGU9ZWhvc3QtbGl2ZQ%3d%3d" TargetMode="External"/><Relationship Id="rId28" Type="http://schemas.openxmlformats.org/officeDocument/2006/relationships/hyperlink" Target="http://search.proquest.com/genderwatch/indexinglinkhandler/sng/au/Martinez,+Theresa+A/$N?accountid=14677" TargetMode="External"/><Relationship Id="rId29" Type="http://schemas.openxmlformats.org/officeDocument/2006/relationships/hyperlink" Target="http://search.proquest.com/genderwatch/pubidlinkhandler/sng/pubtitle/Race,+Gender+$26+Class/$N/25305/DocView/218806784/abstract/$B/1?accountid=1467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gif"/><Relationship Id="rId31" Type="http://schemas.openxmlformats.org/officeDocument/2006/relationships/hyperlink" Target="http://search.proquest.com/genderwatch/indexingvolumeissuelinkhandler/25305/Race,+Gender+$26+Class/01999Y07Y31$23Jul+31,+1999$3b++Vol.+6+$283$29/6/3?accountid=14677" TargetMode="External"/><Relationship Id="rId32" Type="http://schemas.openxmlformats.org/officeDocument/2006/relationships/hyperlink" Target="http://www.cato.org/current/terrorism/pubs/pilon-011206.html" TargetMode="External"/><Relationship Id="rId9" Type="http://schemas.openxmlformats.org/officeDocument/2006/relationships/hyperlink" Target="http://lals.ucsc.edu/faculty/singleton.php?&amp;singleton=true&amp;cruz_id=rfregoso"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justassociates.org/" TargetMode="External"/><Relationship Id="rId11" Type="http://schemas.openxmlformats.org/officeDocument/2006/relationships/hyperlink" Target="http://nobelwomensinitiative.org/wp-content/uploads/2012/06/Report_AmericasDelgation-2012.pdf" TargetMode="External"/><Relationship Id="rId12" Type="http://schemas.openxmlformats.org/officeDocument/2006/relationships/hyperlink" Target="http://nobelwomensinitiative.org/about-us/" TargetMode="External"/><Relationship Id="rId13" Type="http://schemas.openxmlformats.org/officeDocument/2006/relationships/hyperlink" Target="http://www.currenthistory.com/Article.php?ID=867" TargetMode="External"/><Relationship Id="rId14" Type="http://schemas.openxmlformats.org/officeDocument/2006/relationships/hyperlink" Target="http://lals.ucsc.edu/faculty/singleton.php?&amp;singleton=true&amp;cruz_id=rfregoso" TargetMode="External"/><Relationship Id="rId15" Type="http://schemas.openxmlformats.org/officeDocument/2006/relationships/hyperlink" Target="http://www.justassociates.org/" TargetMode="External"/><Relationship Id="rId16" Type="http://schemas.openxmlformats.org/officeDocument/2006/relationships/hyperlink" Target="http://nobelwomensinitiative.org/wp-content/uploads/2012/06/Report_AmericasDelgation-2012.pdf" TargetMode="External"/><Relationship Id="rId17" Type="http://schemas.openxmlformats.org/officeDocument/2006/relationships/hyperlink" Target="http://nobelwomensinitiative.org/about-us/" TargetMode="External"/><Relationship Id="rId18" Type="http://schemas.openxmlformats.org/officeDocument/2006/relationships/hyperlink" Target="http://www.currenthistory.com/Article.php?ID=867" TargetMode="External"/><Relationship Id="rId19" Type="http://schemas.openxmlformats.org/officeDocument/2006/relationships/hyperlink" Target="http://www.tandfonline.com/loi/rjii20?open=1"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FB2D7F4E059409CB5ABA6F9794738"/>
        <w:category>
          <w:name w:val="General"/>
          <w:gallery w:val="placeholder"/>
        </w:category>
        <w:types>
          <w:type w:val="bbPlcHdr"/>
        </w:types>
        <w:behaviors>
          <w:behavior w:val="content"/>
        </w:behaviors>
        <w:guid w:val="{A2878940-C3B7-7440-BFE8-BD91588B9019}"/>
      </w:docPartPr>
      <w:docPartBody>
        <w:p w:rsidR="009C09F5" w:rsidRDefault="00220744" w:rsidP="00220744">
          <w:pPr>
            <w:pStyle w:val="1CEFB2D7F4E059409CB5ABA6F9794738"/>
          </w:pPr>
          <w:r>
            <w:t>[Type text]</w:t>
          </w:r>
        </w:p>
      </w:docPartBody>
    </w:docPart>
    <w:docPart>
      <w:docPartPr>
        <w:name w:val="75052828876A65489A54C6414D85C4B9"/>
        <w:category>
          <w:name w:val="General"/>
          <w:gallery w:val="placeholder"/>
        </w:category>
        <w:types>
          <w:type w:val="bbPlcHdr"/>
        </w:types>
        <w:behaviors>
          <w:behavior w:val="content"/>
        </w:behaviors>
        <w:guid w:val="{F8BB593F-FD49-6B47-A21E-52D9959C3256}"/>
      </w:docPartPr>
      <w:docPartBody>
        <w:p w:rsidR="009C09F5" w:rsidRDefault="00220744" w:rsidP="00220744">
          <w:pPr>
            <w:pStyle w:val="75052828876A65489A54C6414D85C4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44"/>
    <w:rsid w:val="00220744"/>
    <w:rsid w:val="009C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FB2D7F4E059409CB5ABA6F9794738">
    <w:name w:val="1CEFB2D7F4E059409CB5ABA6F9794738"/>
    <w:rsid w:val="00220744"/>
  </w:style>
  <w:style w:type="paragraph" w:customStyle="1" w:styleId="75052828876A65489A54C6414D85C4B9">
    <w:name w:val="75052828876A65489A54C6414D85C4B9"/>
    <w:rsid w:val="00220744"/>
  </w:style>
  <w:style w:type="paragraph" w:customStyle="1" w:styleId="3F4363E5A15A4245BC412A92FC55CCD8">
    <w:name w:val="3F4363E5A15A4245BC412A92FC55CCD8"/>
    <w:rsid w:val="00220744"/>
  </w:style>
  <w:style w:type="paragraph" w:customStyle="1" w:styleId="5EF43D748E0DBD4F91A40B7B0A2BA2B6">
    <w:name w:val="5EF43D748E0DBD4F91A40B7B0A2BA2B6"/>
    <w:rsid w:val="00220744"/>
  </w:style>
  <w:style w:type="paragraph" w:customStyle="1" w:styleId="671B2D0CC064594DA915ECA4241CF6EF">
    <w:name w:val="671B2D0CC064594DA915ECA4241CF6EF"/>
    <w:rsid w:val="00220744"/>
  </w:style>
  <w:style w:type="paragraph" w:customStyle="1" w:styleId="3118C17538D049498B728CA3A89159C1">
    <w:name w:val="3118C17538D049498B728CA3A89159C1"/>
    <w:rsid w:val="002207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FB2D7F4E059409CB5ABA6F9794738">
    <w:name w:val="1CEFB2D7F4E059409CB5ABA6F9794738"/>
    <w:rsid w:val="00220744"/>
  </w:style>
  <w:style w:type="paragraph" w:customStyle="1" w:styleId="75052828876A65489A54C6414D85C4B9">
    <w:name w:val="75052828876A65489A54C6414D85C4B9"/>
    <w:rsid w:val="00220744"/>
  </w:style>
  <w:style w:type="paragraph" w:customStyle="1" w:styleId="3F4363E5A15A4245BC412A92FC55CCD8">
    <w:name w:val="3F4363E5A15A4245BC412A92FC55CCD8"/>
    <w:rsid w:val="00220744"/>
  </w:style>
  <w:style w:type="paragraph" w:customStyle="1" w:styleId="5EF43D748E0DBD4F91A40B7B0A2BA2B6">
    <w:name w:val="5EF43D748E0DBD4F91A40B7B0A2BA2B6"/>
    <w:rsid w:val="00220744"/>
  </w:style>
  <w:style w:type="paragraph" w:customStyle="1" w:styleId="671B2D0CC064594DA915ECA4241CF6EF">
    <w:name w:val="671B2D0CC064594DA915ECA4241CF6EF"/>
    <w:rsid w:val="00220744"/>
  </w:style>
  <w:style w:type="paragraph" w:customStyle="1" w:styleId="3118C17538D049498B728CA3A89159C1">
    <w:name w:val="3118C17538D049498B728CA3A89159C1"/>
    <w:rsid w:val="00220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3795-32F0-5B49-A432-40A11447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65</TotalTime>
  <Pages>38</Pages>
  <Words>13041</Words>
  <Characters>74334</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87201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Cheesewright</dc:creator>
  <cp:lastModifiedBy>Michael Middleton</cp:lastModifiedBy>
  <cp:revision>4</cp:revision>
  <dcterms:created xsi:type="dcterms:W3CDTF">2014-08-06T19:11:00Z</dcterms:created>
  <dcterms:modified xsi:type="dcterms:W3CDTF">2014-09-07T16:00:00Z</dcterms:modified>
</cp:coreProperties>
</file>